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BF35B" w14:textId="552FB8E8" w:rsidR="007B1227" w:rsidRDefault="007B1227">
      <w:r>
        <w:rPr>
          <w:noProof/>
        </w:rPr>
        <w:drawing>
          <wp:anchor distT="0" distB="0" distL="114300" distR="114300" simplePos="0" relativeHeight="251658241" behindDoc="1" locked="0" layoutInCell="1" allowOverlap="1" wp14:anchorId="07628E7E" wp14:editId="569DFCB1">
            <wp:simplePos x="0" y="0"/>
            <wp:positionH relativeFrom="column">
              <wp:posOffset>-52705</wp:posOffset>
            </wp:positionH>
            <wp:positionV relativeFrom="paragraph">
              <wp:posOffset>-13098</wp:posOffset>
            </wp:positionV>
            <wp:extent cx="6228000" cy="8629703"/>
            <wp:effectExtent l="0" t="0" r="1905" b="0"/>
            <wp:wrapNone/>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8000" cy="8629703"/>
                    </a:xfrm>
                    <a:prstGeom prst="rect">
                      <a:avLst/>
                    </a:prstGeom>
                    <a:noFill/>
                  </pic:spPr>
                </pic:pic>
              </a:graphicData>
            </a:graphic>
            <wp14:sizeRelH relativeFrom="margin">
              <wp14:pctWidth>0</wp14:pctWidth>
            </wp14:sizeRelH>
            <wp14:sizeRelV relativeFrom="margin">
              <wp14:pctHeight>0</wp14:pctHeight>
            </wp14:sizeRelV>
          </wp:anchor>
        </w:drawing>
      </w:r>
    </w:p>
    <w:sdt>
      <w:sdtPr>
        <w:id w:val="290323167"/>
        <w:docPartObj>
          <w:docPartGallery w:val="Cover Pages"/>
          <w:docPartUnique/>
        </w:docPartObj>
      </w:sdtPr>
      <w:sdtEndPr/>
      <w:sdtContent>
        <w:p w14:paraId="63F9A3D3" w14:textId="742D6FA8" w:rsidR="00A776BB" w:rsidRDefault="007B1227">
          <w:r>
            <w:rPr>
              <w:noProof/>
            </w:rPr>
            <mc:AlternateContent>
              <mc:Choice Requires="wps">
                <w:drawing>
                  <wp:anchor distT="0" distB="0" distL="114300" distR="114300" simplePos="0" relativeHeight="251658240" behindDoc="0" locked="0" layoutInCell="1" allowOverlap="1" wp14:anchorId="1BFC9526" wp14:editId="7DD1033C">
                    <wp:simplePos x="0" y="0"/>
                    <wp:positionH relativeFrom="page">
                      <wp:posOffset>1272209</wp:posOffset>
                    </wp:positionH>
                    <wp:positionV relativeFrom="page">
                      <wp:posOffset>4230094</wp:posOffset>
                    </wp:positionV>
                    <wp:extent cx="4953662" cy="739471"/>
                    <wp:effectExtent l="0" t="0" r="0" b="3810"/>
                    <wp:wrapSquare wrapText="bothSides"/>
                    <wp:docPr id="470" name="Tekstfelt 470"/>
                    <wp:cNvGraphicFramePr/>
                    <a:graphic xmlns:a="http://schemas.openxmlformats.org/drawingml/2006/main">
                      <a:graphicData uri="http://schemas.microsoft.com/office/word/2010/wordprocessingShape">
                        <wps:wsp>
                          <wps:cNvSpPr txBox="1"/>
                          <wps:spPr>
                            <a:xfrm>
                              <a:off x="0" y="0"/>
                              <a:ext cx="4953662" cy="739471"/>
                            </a:xfrm>
                            <a:prstGeom prst="rect">
                              <a:avLst/>
                            </a:prstGeom>
                            <a:noFill/>
                            <a:ln w="6350">
                              <a:noFill/>
                            </a:ln>
                            <a:effectLst/>
                          </wps:spPr>
                          <wps:txbx>
                            <w:txbxContent>
                              <w:sdt>
                                <w:sdtPr>
                                  <w:rPr>
                                    <w:rFonts w:eastAsiaTheme="majorEastAsia" w:cstheme="majorBidi"/>
                                    <w:sz w:val="72"/>
                                    <w:szCs w:val="72"/>
                                  </w:rPr>
                                  <w:alias w:val="Titel"/>
                                  <w:id w:val="-958338334"/>
                                  <w:dataBinding w:prefixMappings="xmlns:ns0='http://schemas.openxmlformats.org/package/2006/metadata/core-properties' xmlns:ns1='http://purl.org/dc/elements/1.1/'" w:xpath="/ns0:coreProperties[1]/ns1:title[1]" w:storeItemID="{6C3C8BC8-F283-45AE-878A-BAB7291924A1}"/>
                                  <w:text/>
                                </w:sdtPr>
                                <w:sdtEndPr/>
                                <w:sdtContent>
                                  <w:p w14:paraId="188C497A" w14:textId="7E9C5841" w:rsidR="00A776BB" w:rsidRPr="007B1227" w:rsidRDefault="007B1227">
                                    <w:pPr>
                                      <w:spacing w:line="240" w:lineRule="auto"/>
                                      <w:rPr>
                                        <w:rFonts w:asciiTheme="majorHAnsi" w:eastAsiaTheme="majorEastAsia" w:hAnsiTheme="majorHAnsi" w:cstheme="majorBidi"/>
                                        <w:b/>
                                        <w:bCs/>
                                        <w:sz w:val="72"/>
                                        <w:szCs w:val="72"/>
                                      </w:rPr>
                                    </w:pPr>
                                    <w:r w:rsidRPr="007B1227">
                                      <w:rPr>
                                        <w:rFonts w:eastAsiaTheme="majorEastAsia" w:cstheme="majorBidi"/>
                                        <w:sz w:val="72"/>
                                        <w:szCs w:val="72"/>
                                      </w:rPr>
                                      <w:t>Selektiv nedrivning</w:t>
                                    </w:r>
                                  </w:p>
                                </w:sdtContent>
                              </w:sdt>
                              <w:p w14:paraId="58EB7C26" w14:textId="1B3D39B2" w:rsidR="00A776BB" w:rsidRDefault="00A776BB">
                                <w:pPr>
                                  <w:rPr>
                                    <w:rFonts w:asciiTheme="majorHAnsi" w:eastAsiaTheme="majorEastAsia" w:hAnsiTheme="majorHAnsi" w:cstheme="majorBidi"/>
                                    <w:color w:val="44546A" w:themeColor="text2"/>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BFC9526" id="_x0000_t202" coordsize="21600,21600" o:spt="202" path="m,l,21600r21600,l21600,xe">
                    <v:stroke joinstyle="miter"/>
                    <v:path gradientshapeok="t" o:connecttype="rect"/>
                  </v:shapetype>
                  <v:shape id="Tekstfelt 470" o:spid="_x0000_s1026" type="#_x0000_t202" style="position:absolute;margin-left:100.15pt;margin-top:333.1pt;width:390.05pt;height:58.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" filled="f" stroked="f" strokeweight=".5pt">
                    <v:textbox>
                      <w:txbxContent>
                        <w:sdt>
                          <w:sdtPr>
                            <w:rPr>
                              <w:rFonts w:eastAsiaTheme="majorEastAsia" w:cstheme="majorBidi"/>
                              <w:sz w:val="72"/>
                              <w:szCs w:val="72"/>
                            </w:rPr>
                            <w:alias w:val="Titel"/>
                            <w:id w:val="-958338334"/>
                            <w:dataBinding w:prefixMappings="xmlns:ns0='http://schemas.openxmlformats.org/package/2006/metadata/core-properties' xmlns:ns1='http://purl.org/dc/elements/1.1/'" w:xpath="/ns0:coreProperties[1]/ns1:title[1]" w:storeItemID="{6C3C8BC8-F283-45AE-878A-BAB7291924A1}"/>
                            <w:text/>
                          </w:sdtPr>
                          <w:sdtEndPr/>
                          <w:sdtContent>
                            <w:p w14:paraId="188C497A" w14:textId="7E9C5841" w:rsidR="00A776BB" w:rsidRPr="007B1227" w:rsidRDefault="007B1227">
                              <w:pPr>
                                <w:spacing w:line="240" w:lineRule="auto"/>
                                <w:rPr>
                                  <w:rFonts w:asciiTheme="majorHAnsi" w:eastAsiaTheme="majorEastAsia" w:hAnsiTheme="majorHAnsi" w:cstheme="majorBidi"/>
                                  <w:b/>
                                  <w:bCs/>
                                  <w:sz w:val="72"/>
                                  <w:szCs w:val="72"/>
                                </w:rPr>
                              </w:pPr>
                              <w:r w:rsidRPr="007B1227">
                                <w:rPr>
                                  <w:rFonts w:eastAsiaTheme="majorEastAsia" w:cstheme="majorBidi"/>
                                  <w:sz w:val="72"/>
                                  <w:szCs w:val="72"/>
                                </w:rPr>
                                <w:t>Selektiv nedrivning</w:t>
                              </w:r>
                            </w:p>
                          </w:sdtContent>
                        </w:sdt>
                        <w:p w14:paraId="58EB7C26" w14:textId="1B3D39B2" w:rsidR="00A776BB" w:rsidRDefault="00A776BB">
                          <w:pPr>
                            <w:rPr>
                              <w:rFonts w:asciiTheme="majorHAnsi" w:eastAsiaTheme="majorEastAsia" w:hAnsiTheme="majorHAnsi" w:cstheme="majorBidi"/>
                              <w:color w:val="44546A" w:themeColor="text2"/>
                              <w:sz w:val="32"/>
                              <w:szCs w:val="32"/>
                            </w:rPr>
                          </w:pPr>
                        </w:p>
                      </w:txbxContent>
                    </v:textbox>
                    <w10:wrap type="square" anchorx="page" anchory="page"/>
                  </v:shape>
                </w:pict>
              </mc:Fallback>
            </mc:AlternateContent>
          </w:r>
        </w:p>
        <w:p w14:paraId="3E2D9618" w14:textId="5C3D66D2" w:rsidR="00A776BB" w:rsidRDefault="0098064B" w:rsidP="243C4194">
          <w:pPr>
            <w:spacing w:after="160"/>
            <w:ind w:left="1304" w:firstLine="1304"/>
          </w:pPr>
          <w:r>
            <w:rPr>
              <w:noProof/>
            </w:rPr>
            <mc:AlternateContent>
              <mc:Choice Requires="wps">
                <w:drawing>
                  <wp:anchor distT="0" distB="0" distL="114300" distR="114300" simplePos="0" relativeHeight="251658243" behindDoc="0" locked="0" layoutInCell="1" allowOverlap="1" wp14:anchorId="3A9E673F" wp14:editId="707EF7DE">
                    <wp:simplePos x="0" y="0"/>
                    <wp:positionH relativeFrom="column">
                      <wp:posOffset>803910</wp:posOffset>
                    </wp:positionH>
                    <wp:positionV relativeFrom="paragraph">
                      <wp:posOffset>4463415</wp:posOffset>
                    </wp:positionV>
                    <wp:extent cx="2057400" cy="344548"/>
                    <wp:effectExtent l="0" t="0" r="0" b="0"/>
                    <wp:wrapNone/>
                    <wp:docPr id="858143780" name="Tekstfelt 1"/>
                    <wp:cNvGraphicFramePr/>
                    <a:graphic xmlns:a="http://schemas.openxmlformats.org/drawingml/2006/main">
                      <a:graphicData uri="http://schemas.microsoft.com/office/word/2010/wordprocessingShape">
                        <wps:wsp>
                          <wps:cNvSpPr txBox="1"/>
                          <wps:spPr>
                            <a:xfrm>
                              <a:off x="0" y="0"/>
                              <a:ext cx="2057400" cy="344548"/>
                            </a:xfrm>
                            <a:prstGeom prst="rect">
                              <a:avLst/>
                            </a:prstGeom>
                            <a:noFill/>
                            <a:ln w="6350">
                              <a:noFill/>
                            </a:ln>
                          </wps:spPr>
                          <wps:txbx>
                            <w:txbxContent>
                              <w:p w14:paraId="36E3A782" w14:textId="0AEC6E70" w:rsidR="0098064B" w:rsidRDefault="00B712C5">
                                <w:r>
                                  <w:t>”</w:t>
                                </w:r>
                                <w:r w:rsidR="00E614E7">
                                  <w:t xml:space="preserve">Sagstitel og </w:t>
                                </w:r>
                                <w:r w:rsidR="00013E67">
                                  <w:t>beliggenhed</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E673F" id="Tekstfelt 1" o:spid="_x0000_s1027" type="#_x0000_t202" style="position:absolute;left:0;text-align:left;margin-left:63.3pt;margin-top:351.45pt;width:162pt;height:27.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" filled="f" stroked="f" strokeweight=".5pt">
                    <v:textbox>
                      <w:txbxContent>
                        <w:p w14:paraId="36E3A782" w14:textId="0AEC6E70" w:rsidR="0098064B" w:rsidRDefault="00B712C5">
                          <w:r>
                            <w:t>”</w:t>
                          </w:r>
                          <w:r w:rsidR="00E614E7">
                            <w:t xml:space="preserve">Sagstitel og </w:t>
                          </w:r>
                          <w:r w:rsidR="00013E67">
                            <w:t>beliggenhed</w:t>
                          </w:r>
                          <w:r>
                            <w:t>”</w:t>
                          </w:r>
                        </w:p>
                      </w:txbxContent>
                    </v:textbox>
                  </v:shape>
                </w:pict>
              </mc:Fallback>
            </mc:AlternateContent>
          </w:r>
          <w:r w:rsidR="00A776BB">
            <w:br w:type="page"/>
          </w:r>
        </w:p>
      </w:sdtContent>
    </w:sdt>
    <w:sdt>
      <w:sdtPr>
        <w:id w:val="28303454"/>
        <w:docPartObj>
          <w:docPartGallery w:val="Table of Contents"/>
          <w:docPartUnique/>
        </w:docPartObj>
      </w:sdtPr>
      <w:sdtEndPr>
        <w:rPr>
          <w:b/>
          <w:bCs/>
        </w:rPr>
      </w:sdtEndPr>
      <w:sdtContent>
        <w:p w14:paraId="2B2468FC" w14:textId="0F64735F" w:rsidR="0080077D" w:rsidRDefault="0080077D" w:rsidP="002354EB">
          <w:pPr>
            <w:pStyle w:val="Ingenafstand"/>
          </w:pPr>
        </w:p>
        <w:p w14:paraId="54AC72E9" w14:textId="1B5DC7DD" w:rsidR="00882B1B" w:rsidRDefault="0080077D">
          <w:pPr>
            <w:pStyle w:val="Indholdsfortegnelse1"/>
            <w:tabs>
              <w:tab w:val="left" w:pos="480"/>
              <w:tab w:val="right" w:leader="dot" w:pos="9628"/>
            </w:tabs>
            <w:rPr>
              <w:rFonts w:asciiTheme="minorHAnsi" w:eastAsiaTheme="minorEastAsia" w:hAnsiTheme="minorHAnsi"/>
              <w:noProof/>
              <w:sz w:val="24"/>
              <w:szCs w:val="24"/>
              <w:lang w:eastAsia="da-DK"/>
            </w:rPr>
          </w:pPr>
          <w:r>
            <w:fldChar w:fldCharType="begin"/>
          </w:r>
          <w:r>
            <w:instrText xml:space="preserve"> TOC \o "1-3" \h \z \u </w:instrText>
          </w:r>
          <w:r>
            <w:fldChar w:fldCharType="separate"/>
          </w:r>
          <w:hyperlink w:anchor="_Toc198552611" w:history="1">
            <w:r w:rsidR="00882B1B" w:rsidRPr="00DC2372">
              <w:rPr>
                <w:rStyle w:val="Hyperlink"/>
                <w:noProof/>
              </w:rPr>
              <w:t>1.</w:t>
            </w:r>
            <w:r w:rsidR="00882B1B">
              <w:rPr>
                <w:rFonts w:asciiTheme="minorHAnsi" w:eastAsiaTheme="minorEastAsia" w:hAnsiTheme="minorHAnsi"/>
                <w:noProof/>
                <w:sz w:val="24"/>
                <w:szCs w:val="24"/>
                <w:lang w:eastAsia="da-DK"/>
              </w:rPr>
              <w:tab/>
            </w:r>
            <w:r w:rsidR="00882B1B" w:rsidRPr="00DC2372">
              <w:rPr>
                <w:rStyle w:val="Hyperlink"/>
                <w:noProof/>
              </w:rPr>
              <w:t>Formål</w:t>
            </w:r>
            <w:r w:rsidR="00882B1B">
              <w:rPr>
                <w:noProof/>
                <w:webHidden/>
              </w:rPr>
              <w:tab/>
            </w:r>
            <w:r w:rsidR="00882B1B">
              <w:rPr>
                <w:noProof/>
                <w:webHidden/>
              </w:rPr>
              <w:fldChar w:fldCharType="begin"/>
            </w:r>
            <w:r w:rsidR="00882B1B">
              <w:rPr>
                <w:noProof/>
                <w:webHidden/>
              </w:rPr>
              <w:instrText xml:space="preserve"> PAGEREF _Toc198552611 \h </w:instrText>
            </w:r>
            <w:r w:rsidR="00882B1B">
              <w:rPr>
                <w:noProof/>
                <w:webHidden/>
              </w:rPr>
            </w:r>
            <w:r w:rsidR="00882B1B">
              <w:rPr>
                <w:noProof/>
                <w:webHidden/>
              </w:rPr>
              <w:fldChar w:fldCharType="separate"/>
            </w:r>
            <w:r w:rsidR="002701F9">
              <w:rPr>
                <w:noProof/>
                <w:webHidden/>
              </w:rPr>
              <w:t>2</w:t>
            </w:r>
            <w:r w:rsidR="00882B1B">
              <w:rPr>
                <w:noProof/>
                <w:webHidden/>
              </w:rPr>
              <w:fldChar w:fldCharType="end"/>
            </w:r>
          </w:hyperlink>
        </w:p>
        <w:p w14:paraId="76C12BC8" w14:textId="043084AC" w:rsidR="00882B1B" w:rsidRDefault="00882B1B">
          <w:pPr>
            <w:pStyle w:val="Indholdsfortegnelse2"/>
            <w:tabs>
              <w:tab w:val="right" w:leader="dot" w:pos="9628"/>
            </w:tabs>
            <w:rPr>
              <w:rFonts w:asciiTheme="minorHAnsi" w:eastAsiaTheme="minorEastAsia" w:hAnsiTheme="minorHAnsi"/>
              <w:noProof/>
              <w:sz w:val="24"/>
              <w:szCs w:val="24"/>
              <w:lang w:eastAsia="da-DK"/>
            </w:rPr>
          </w:pPr>
          <w:hyperlink w:anchor="_Toc198552612" w:history="1">
            <w:r w:rsidRPr="00DC2372">
              <w:rPr>
                <w:rStyle w:val="Hyperlink"/>
                <w:noProof/>
              </w:rPr>
              <w:t>1.1. Grundlag for selektiv nedrivning</w:t>
            </w:r>
            <w:r>
              <w:rPr>
                <w:noProof/>
                <w:webHidden/>
              </w:rPr>
              <w:tab/>
            </w:r>
            <w:r>
              <w:rPr>
                <w:noProof/>
                <w:webHidden/>
              </w:rPr>
              <w:fldChar w:fldCharType="begin"/>
            </w:r>
            <w:r>
              <w:rPr>
                <w:noProof/>
                <w:webHidden/>
              </w:rPr>
              <w:instrText xml:space="preserve"> PAGEREF _Toc198552612 \h </w:instrText>
            </w:r>
            <w:r>
              <w:rPr>
                <w:noProof/>
                <w:webHidden/>
              </w:rPr>
            </w:r>
            <w:r>
              <w:rPr>
                <w:noProof/>
                <w:webHidden/>
              </w:rPr>
              <w:fldChar w:fldCharType="separate"/>
            </w:r>
            <w:r w:rsidR="002701F9">
              <w:rPr>
                <w:noProof/>
                <w:webHidden/>
              </w:rPr>
              <w:t>2</w:t>
            </w:r>
            <w:r>
              <w:rPr>
                <w:noProof/>
                <w:webHidden/>
              </w:rPr>
              <w:fldChar w:fldCharType="end"/>
            </w:r>
          </w:hyperlink>
        </w:p>
        <w:p w14:paraId="6BB9A15F" w14:textId="479BB1CB" w:rsidR="00882B1B" w:rsidRDefault="00882B1B">
          <w:pPr>
            <w:pStyle w:val="Indholdsfortegnelse1"/>
            <w:tabs>
              <w:tab w:val="left" w:pos="480"/>
              <w:tab w:val="right" w:leader="dot" w:pos="9628"/>
            </w:tabs>
            <w:rPr>
              <w:rFonts w:asciiTheme="minorHAnsi" w:eastAsiaTheme="minorEastAsia" w:hAnsiTheme="minorHAnsi"/>
              <w:noProof/>
              <w:sz w:val="24"/>
              <w:szCs w:val="24"/>
              <w:lang w:eastAsia="da-DK"/>
            </w:rPr>
          </w:pPr>
          <w:hyperlink w:anchor="_Toc198552613" w:history="1">
            <w:r w:rsidRPr="00DC2372">
              <w:rPr>
                <w:rStyle w:val="Hyperlink"/>
                <w:noProof/>
              </w:rPr>
              <w:t>2.</w:t>
            </w:r>
            <w:r>
              <w:rPr>
                <w:rFonts w:asciiTheme="minorHAnsi" w:eastAsiaTheme="minorEastAsia" w:hAnsiTheme="minorHAnsi"/>
                <w:noProof/>
                <w:sz w:val="24"/>
                <w:szCs w:val="24"/>
                <w:lang w:eastAsia="da-DK"/>
              </w:rPr>
              <w:tab/>
            </w:r>
            <w:r w:rsidRPr="00DC2372">
              <w:rPr>
                <w:rStyle w:val="Hyperlink"/>
                <w:noProof/>
              </w:rPr>
              <w:t>Projektbeskrivelse</w:t>
            </w:r>
            <w:r>
              <w:rPr>
                <w:noProof/>
                <w:webHidden/>
              </w:rPr>
              <w:tab/>
            </w:r>
            <w:r>
              <w:rPr>
                <w:noProof/>
                <w:webHidden/>
              </w:rPr>
              <w:fldChar w:fldCharType="begin"/>
            </w:r>
            <w:r>
              <w:rPr>
                <w:noProof/>
                <w:webHidden/>
              </w:rPr>
              <w:instrText xml:space="preserve"> PAGEREF _Toc198552613 \h </w:instrText>
            </w:r>
            <w:r>
              <w:rPr>
                <w:noProof/>
                <w:webHidden/>
              </w:rPr>
            </w:r>
            <w:r>
              <w:rPr>
                <w:noProof/>
                <w:webHidden/>
              </w:rPr>
              <w:fldChar w:fldCharType="separate"/>
            </w:r>
            <w:r w:rsidR="002701F9">
              <w:rPr>
                <w:noProof/>
                <w:webHidden/>
              </w:rPr>
              <w:t>4</w:t>
            </w:r>
            <w:r>
              <w:rPr>
                <w:noProof/>
                <w:webHidden/>
              </w:rPr>
              <w:fldChar w:fldCharType="end"/>
            </w:r>
          </w:hyperlink>
        </w:p>
        <w:p w14:paraId="4B70B452" w14:textId="22F57448" w:rsidR="00882B1B" w:rsidRDefault="00882B1B">
          <w:pPr>
            <w:pStyle w:val="Indholdsfortegnelse2"/>
            <w:tabs>
              <w:tab w:val="right" w:leader="dot" w:pos="9628"/>
            </w:tabs>
            <w:rPr>
              <w:rFonts w:asciiTheme="minorHAnsi" w:eastAsiaTheme="minorEastAsia" w:hAnsiTheme="minorHAnsi"/>
              <w:noProof/>
              <w:sz w:val="24"/>
              <w:szCs w:val="24"/>
              <w:lang w:eastAsia="da-DK"/>
            </w:rPr>
          </w:pPr>
          <w:hyperlink w:anchor="_Toc198552614" w:history="1">
            <w:r w:rsidRPr="00DC2372">
              <w:rPr>
                <w:rStyle w:val="Hyperlink"/>
                <w:noProof/>
              </w:rPr>
              <w:t>2.1. Organisationsplan</w:t>
            </w:r>
            <w:r>
              <w:rPr>
                <w:noProof/>
                <w:webHidden/>
              </w:rPr>
              <w:tab/>
            </w:r>
            <w:r>
              <w:rPr>
                <w:noProof/>
                <w:webHidden/>
              </w:rPr>
              <w:fldChar w:fldCharType="begin"/>
            </w:r>
            <w:r>
              <w:rPr>
                <w:noProof/>
                <w:webHidden/>
              </w:rPr>
              <w:instrText xml:space="preserve"> PAGEREF _Toc198552614 \h </w:instrText>
            </w:r>
            <w:r>
              <w:rPr>
                <w:noProof/>
                <w:webHidden/>
              </w:rPr>
            </w:r>
            <w:r>
              <w:rPr>
                <w:noProof/>
                <w:webHidden/>
              </w:rPr>
              <w:fldChar w:fldCharType="separate"/>
            </w:r>
            <w:r w:rsidR="002701F9">
              <w:rPr>
                <w:noProof/>
                <w:webHidden/>
              </w:rPr>
              <w:t>4</w:t>
            </w:r>
            <w:r>
              <w:rPr>
                <w:noProof/>
                <w:webHidden/>
              </w:rPr>
              <w:fldChar w:fldCharType="end"/>
            </w:r>
          </w:hyperlink>
        </w:p>
        <w:p w14:paraId="3DC27C8A" w14:textId="29715DA8" w:rsidR="00882B1B" w:rsidRDefault="00882B1B">
          <w:pPr>
            <w:pStyle w:val="Indholdsfortegnelse1"/>
            <w:tabs>
              <w:tab w:val="left" w:pos="480"/>
              <w:tab w:val="right" w:leader="dot" w:pos="9628"/>
            </w:tabs>
            <w:rPr>
              <w:rFonts w:asciiTheme="minorHAnsi" w:eastAsiaTheme="minorEastAsia" w:hAnsiTheme="minorHAnsi"/>
              <w:noProof/>
              <w:sz w:val="24"/>
              <w:szCs w:val="24"/>
              <w:lang w:eastAsia="da-DK"/>
            </w:rPr>
          </w:pPr>
          <w:hyperlink w:anchor="_Toc198552615" w:history="1">
            <w:r w:rsidRPr="00DC2372">
              <w:rPr>
                <w:rStyle w:val="Hyperlink"/>
                <w:noProof/>
              </w:rPr>
              <w:t>3.</w:t>
            </w:r>
            <w:r>
              <w:rPr>
                <w:rFonts w:asciiTheme="minorHAnsi" w:eastAsiaTheme="minorEastAsia" w:hAnsiTheme="minorHAnsi"/>
                <w:noProof/>
                <w:sz w:val="24"/>
                <w:szCs w:val="24"/>
                <w:lang w:eastAsia="da-DK"/>
              </w:rPr>
              <w:tab/>
            </w:r>
            <w:r w:rsidRPr="00DC2372">
              <w:rPr>
                <w:rStyle w:val="Hyperlink"/>
                <w:noProof/>
              </w:rPr>
              <w:t>Krav til gennemførelse</w:t>
            </w:r>
            <w:r>
              <w:rPr>
                <w:noProof/>
                <w:webHidden/>
              </w:rPr>
              <w:tab/>
            </w:r>
            <w:r>
              <w:rPr>
                <w:noProof/>
                <w:webHidden/>
              </w:rPr>
              <w:fldChar w:fldCharType="begin"/>
            </w:r>
            <w:r>
              <w:rPr>
                <w:noProof/>
                <w:webHidden/>
              </w:rPr>
              <w:instrText xml:space="preserve"> PAGEREF _Toc198552615 \h </w:instrText>
            </w:r>
            <w:r>
              <w:rPr>
                <w:noProof/>
                <w:webHidden/>
              </w:rPr>
            </w:r>
            <w:r>
              <w:rPr>
                <w:noProof/>
                <w:webHidden/>
              </w:rPr>
              <w:fldChar w:fldCharType="separate"/>
            </w:r>
            <w:r w:rsidR="002701F9">
              <w:rPr>
                <w:noProof/>
                <w:webHidden/>
              </w:rPr>
              <w:t>4</w:t>
            </w:r>
            <w:r>
              <w:rPr>
                <w:noProof/>
                <w:webHidden/>
              </w:rPr>
              <w:fldChar w:fldCharType="end"/>
            </w:r>
          </w:hyperlink>
        </w:p>
        <w:p w14:paraId="6930904C" w14:textId="39264B5C" w:rsidR="00882B1B" w:rsidRDefault="00882B1B">
          <w:pPr>
            <w:pStyle w:val="Indholdsfortegnelse2"/>
            <w:tabs>
              <w:tab w:val="right" w:leader="dot" w:pos="9628"/>
            </w:tabs>
            <w:rPr>
              <w:rFonts w:asciiTheme="minorHAnsi" w:eastAsiaTheme="minorEastAsia" w:hAnsiTheme="minorHAnsi"/>
              <w:noProof/>
              <w:sz w:val="24"/>
              <w:szCs w:val="24"/>
              <w:lang w:eastAsia="da-DK"/>
            </w:rPr>
          </w:pPr>
          <w:hyperlink w:anchor="_Toc198552616" w:history="1">
            <w:r w:rsidRPr="00DC2372">
              <w:rPr>
                <w:rStyle w:val="Hyperlink"/>
                <w:noProof/>
              </w:rPr>
              <w:t>3.1. Forundersøgelse</w:t>
            </w:r>
            <w:r>
              <w:rPr>
                <w:noProof/>
                <w:webHidden/>
              </w:rPr>
              <w:tab/>
            </w:r>
            <w:r>
              <w:rPr>
                <w:noProof/>
                <w:webHidden/>
              </w:rPr>
              <w:fldChar w:fldCharType="begin"/>
            </w:r>
            <w:r>
              <w:rPr>
                <w:noProof/>
                <w:webHidden/>
              </w:rPr>
              <w:instrText xml:space="preserve"> PAGEREF _Toc198552616 \h </w:instrText>
            </w:r>
            <w:r>
              <w:rPr>
                <w:noProof/>
                <w:webHidden/>
              </w:rPr>
            </w:r>
            <w:r>
              <w:rPr>
                <w:noProof/>
                <w:webHidden/>
              </w:rPr>
              <w:fldChar w:fldCharType="separate"/>
            </w:r>
            <w:r w:rsidR="002701F9">
              <w:rPr>
                <w:noProof/>
                <w:webHidden/>
              </w:rPr>
              <w:t>4</w:t>
            </w:r>
            <w:r>
              <w:rPr>
                <w:noProof/>
                <w:webHidden/>
              </w:rPr>
              <w:fldChar w:fldCharType="end"/>
            </w:r>
          </w:hyperlink>
        </w:p>
        <w:p w14:paraId="071CAF78" w14:textId="01437791" w:rsidR="00882B1B" w:rsidRDefault="00882B1B">
          <w:pPr>
            <w:pStyle w:val="Indholdsfortegnelse2"/>
            <w:tabs>
              <w:tab w:val="right" w:leader="dot" w:pos="9628"/>
            </w:tabs>
            <w:rPr>
              <w:rFonts w:asciiTheme="minorHAnsi" w:eastAsiaTheme="minorEastAsia" w:hAnsiTheme="minorHAnsi"/>
              <w:noProof/>
              <w:sz w:val="24"/>
              <w:szCs w:val="24"/>
              <w:lang w:eastAsia="da-DK"/>
            </w:rPr>
          </w:pPr>
          <w:hyperlink w:anchor="_Toc198552617" w:history="1">
            <w:r w:rsidRPr="00DC2372">
              <w:rPr>
                <w:rStyle w:val="Hyperlink"/>
                <w:noProof/>
              </w:rPr>
              <w:t>3.2. Screening</w:t>
            </w:r>
            <w:r>
              <w:rPr>
                <w:noProof/>
                <w:webHidden/>
              </w:rPr>
              <w:tab/>
            </w:r>
            <w:r>
              <w:rPr>
                <w:noProof/>
                <w:webHidden/>
              </w:rPr>
              <w:fldChar w:fldCharType="begin"/>
            </w:r>
            <w:r>
              <w:rPr>
                <w:noProof/>
                <w:webHidden/>
              </w:rPr>
              <w:instrText xml:space="preserve"> PAGEREF _Toc198552617 \h </w:instrText>
            </w:r>
            <w:r>
              <w:rPr>
                <w:noProof/>
                <w:webHidden/>
              </w:rPr>
            </w:r>
            <w:r>
              <w:rPr>
                <w:noProof/>
                <w:webHidden/>
              </w:rPr>
              <w:fldChar w:fldCharType="separate"/>
            </w:r>
            <w:r w:rsidR="002701F9">
              <w:rPr>
                <w:noProof/>
                <w:webHidden/>
              </w:rPr>
              <w:t>4</w:t>
            </w:r>
            <w:r>
              <w:rPr>
                <w:noProof/>
                <w:webHidden/>
              </w:rPr>
              <w:fldChar w:fldCharType="end"/>
            </w:r>
          </w:hyperlink>
        </w:p>
        <w:p w14:paraId="72844BBC" w14:textId="2A543C7A" w:rsidR="00882B1B" w:rsidRDefault="00882B1B">
          <w:pPr>
            <w:pStyle w:val="Indholdsfortegnelse2"/>
            <w:tabs>
              <w:tab w:val="right" w:leader="dot" w:pos="9628"/>
            </w:tabs>
            <w:rPr>
              <w:rFonts w:asciiTheme="minorHAnsi" w:eastAsiaTheme="minorEastAsia" w:hAnsiTheme="minorHAnsi"/>
              <w:noProof/>
              <w:sz w:val="24"/>
              <w:szCs w:val="24"/>
              <w:lang w:eastAsia="da-DK"/>
            </w:rPr>
          </w:pPr>
          <w:hyperlink w:anchor="_Toc198552618" w:history="1">
            <w:r w:rsidRPr="00DC2372">
              <w:rPr>
                <w:rStyle w:val="Hyperlink"/>
                <w:noProof/>
              </w:rPr>
              <w:t>3.3. Løbende tilsyn</w:t>
            </w:r>
            <w:r>
              <w:rPr>
                <w:noProof/>
                <w:webHidden/>
              </w:rPr>
              <w:tab/>
            </w:r>
            <w:r>
              <w:rPr>
                <w:noProof/>
                <w:webHidden/>
              </w:rPr>
              <w:fldChar w:fldCharType="begin"/>
            </w:r>
            <w:r>
              <w:rPr>
                <w:noProof/>
                <w:webHidden/>
              </w:rPr>
              <w:instrText xml:space="preserve"> PAGEREF _Toc198552618 \h </w:instrText>
            </w:r>
            <w:r>
              <w:rPr>
                <w:noProof/>
                <w:webHidden/>
              </w:rPr>
            </w:r>
            <w:r>
              <w:rPr>
                <w:noProof/>
                <w:webHidden/>
              </w:rPr>
              <w:fldChar w:fldCharType="separate"/>
            </w:r>
            <w:r w:rsidR="002701F9">
              <w:rPr>
                <w:noProof/>
                <w:webHidden/>
              </w:rPr>
              <w:t>5</w:t>
            </w:r>
            <w:r>
              <w:rPr>
                <w:noProof/>
                <w:webHidden/>
              </w:rPr>
              <w:fldChar w:fldCharType="end"/>
            </w:r>
          </w:hyperlink>
        </w:p>
        <w:p w14:paraId="585A4D87" w14:textId="450FBA4E" w:rsidR="00882B1B" w:rsidRDefault="00882B1B">
          <w:pPr>
            <w:pStyle w:val="Indholdsfortegnelse2"/>
            <w:tabs>
              <w:tab w:val="right" w:leader="dot" w:pos="9628"/>
            </w:tabs>
            <w:rPr>
              <w:rFonts w:asciiTheme="minorHAnsi" w:eastAsiaTheme="minorEastAsia" w:hAnsiTheme="minorHAnsi"/>
              <w:noProof/>
              <w:sz w:val="24"/>
              <w:szCs w:val="24"/>
              <w:lang w:eastAsia="da-DK"/>
            </w:rPr>
          </w:pPr>
          <w:hyperlink w:anchor="_Toc198552619" w:history="1">
            <w:r w:rsidRPr="00DC2372">
              <w:rPr>
                <w:rStyle w:val="Hyperlink"/>
                <w:noProof/>
              </w:rPr>
              <w:t>3.4. Opfølgning og aflevering</w:t>
            </w:r>
            <w:r>
              <w:rPr>
                <w:noProof/>
                <w:webHidden/>
              </w:rPr>
              <w:tab/>
            </w:r>
            <w:r>
              <w:rPr>
                <w:noProof/>
                <w:webHidden/>
              </w:rPr>
              <w:fldChar w:fldCharType="begin"/>
            </w:r>
            <w:r>
              <w:rPr>
                <w:noProof/>
                <w:webHidden/>
              </w:rPr>
              <w:instrText xml:space="preserve"> PAGEREF _Toc198552619 \h </w:instrText>
            </w:r>
            <w:r>
              <w:rPr>
                <w:noProof/>
                <w:webHidden/>
              </w:rPr>
            </w:r>
            <w:r>
              <w:rPr>
                <w:noProof/>
                <w:webHidden/>
              </w:rPr>
              <w:fldChar w:fldCharType="separate"/>
            </w:r>
            <w:r w:rsidR="002701F9">
              <w:rPr>
                <w:noProof/>
                <w:webHidden/>
              </w:rPr>
              <w:t>5</w:t>
            </w:r>
            <w:r>
              <w:rPr>
                <w:noProof/>
                <w:webHidden/>
              </w:rPr>
              <w:fldChar w:fldCharType="end"/>
            </w:r>
          </w:hyperlink>
        </w:p>
        <w:p w14:paraId="1B5D12FB" w14:textId="30E5D5E3" w:rsidR="00882B1B" w:rsidRDefault="00882B1B">
          <w:pPr>
            <w:pStyle w:val="Indholdsfortegnelse1"/>
            <w:tabs>
              <w:tab w:val="left" w:pos="480"/>
              <w:tab w:val="right" w:leader="dot" w:pos="9628"/>
            </w:tabs>
            <w:rPr>
              <w:rFonts w:asciiTheme="minorHAnsi" w:eastAsiaTheme="minorEastAsia" w:hAnsiTheme="minorHAnsi"/>
              <w:noProof/>
              <w:sz w:val="24"/>
              <w:szCs w:val="24"/>
              <w:lang w:eastAsia="da-DK"/>
            </w:rPr>
          </w:pPr>
          <w:hyperlink w:anchor="_Toc198552620" w:history="1">
            <w:r w:rsidRPr="00DC2372">
              <w:rPr>
                <w:rStyle w:val="Hyperlink"/>
                <w:noProof/>
              </w:rPr>
              <w:t>4.</w:t>
            </w:r>
            <w:r>
              <w:rPr>
                <w:rFonts w:asciiTheme="minorHAnsi" w:eastAsiaTheme="minorEastAsia" w:hAnsiTheme="minorHAnsi"/>
                <w:noProof/>
                <w:sz w:val="24"/>
                <w:szCs w:val="24"/>
                <w:lang w:eastAsia="da-DK"/>
              </w:rPr>
              <w:tab/>
            </w:r>
            <w:r w:rsidRPr="00DC2372">
              <w:rPr>
                <w:rStyle w:val="Hyperlink"/>
                <w:noProof/>
              </w:rPr>
              <w:t>Udbuddets indhold</w:t>
            </w:r>
            <w:r>
              <w:rPr>
                <w:noProof/>
                <w:webHidden/>
              </w:rPr>
              <w:tab/>
            </w:r>
            <w:r>
              <w:rPr>
                <w:noProof/>
                <w:webHidden/>
              </w:rPr>
              <w:fldChar w:fldCharType="begin"/>
            </w:r>
            <w:r>
              <w:rPr>
                <w:noProof/>
                <w:webHidden/>
              </w:rPr>
              <w:instrText xml:space="preserve"> PAGEREF _Toc198552620 \h </w:instrText>
            </w:r>
            <w:r>
              <w:rPr>
                <w:noProof/>
                <w:webHidden/>
              </w:rPr>
            </w:r>
            <w:r>
              <w:rPr>
                <w:noProof/>
                <w:webHidden/>
              </w:rPr>
              <w:fldChar w:fldCharType="separate"/>
            </w:r>
            <w:r w:rsidR="002701F9">
              <w:rPr>
                <w:noProof/>
                <w:webHidden/>
              </w:rPr>
              <w:t>5</w:t>
            </w:r>
            <w:r>
              <w:rPr>
                <w:noProof/>
                <w:webHidden/>
              </w:rPr>
              <w:fldChar w:fldCharType="end"/>
            </w:r>
          </w:hyperlink>
        </w:p>
        <w:p w14:paraId="5CADDFFA" w14:textId="6AC047EC" w:rsidR="00882B1B" w:rsidRDefault="00882B1B">
          <w:pPr>
            <w:pStyle w:val="Indholdsfortegnelse2"/>
            <w:tabs>
              <w:tab w:val="right" w:leader="dot" w:pos="9628"/>
            </w:tabs>
            <w:rPr>
              <w:rFonts w:asciiTheme="minorHAnsi" w:eastAsiaTheme="minorEastAsia" w:hAnsiTheme="minorHAnsi"/>
              <w:noProof/>
              <w:sz w:val="24"/>
              <w:szCs w:val="24"/>
              <w:lang w:eastAsia="da-DK"/>
            </w:rPr>
          </w:pPr>
          <w:hyperlink w:anchor="_Toc198552621" w:history="1">
            <w:r w:rsidRPr="00DC2372">
              <w:rPr>
                <w:rStyle w:val="Hyperlink"/>
                <w:noProof/>
              </w:rPr>
              <w:t>4.1. Tidsplan</w:t>
            </w:r>
            <w:r>
              <w:rPr>
                <w:noProof/>
                <w:webHidden/>
              </w:rPr>
              <w:tab/>
            </w:r>
            <w:r>
              <w:rPr>
                <w:noProof/>
                <w:webHidden/>
              </w:rPr>
              <w:fldChar w:fldCharType="begin"/>
            </w:r>
            <w:r>
              <w:rPr>
                <w:noProof/>
                <w:webHidden/>
              </w:rPr>
              <w:instrText xml:space="preserve"> PAGEREF _Toc198552621 \h </w:instrText>
            </w:r>
            <w:r>
              <w:rPr>
                <w:noProof/>
                <w:webHidden/>
              </w:rPr>
            </w:r>
            <w:r>
              <w:rPr>
                <w:noProof/>
                <w:webHidden/>
              </w:rPr>
              <w:fldChar w:fldCharType="separate"/>
            </w:r>
            <w:r w:rsidR="002701F9">
              <w:rPr>
                <w:noProof/>
                <w:webHidden/>
              </w:rPr>
              <w:t>5</w:t>
            </w:r>
            <w:r>
              <w:rPr>
                <w:noProof/>
                <w:webHidden/>
              </w:rPr>
              <w:fldChar w:fldCharType="end"/>
            </w:r>
          </w:hyperlink>
        </w:p>
        <w:p w14:paraId="15766DE3" w14:textId="67E7D160" w:rsidR="00882B1B" w:rsidRDefault="00882B1B">
          <w:pPr>
            <w:pStyle w:val="Indholdsfortegnelse2"/>
            <w:tabs>
              <w:tab w:val="right" w:leader="dot" w:pos="9628"/>
            </w:tabs>
            <w:rPr>
              <w:rFonts w:asciiTheme="minorHAnsi" w:eastAsiaTheme="minorEastAsia" w:hAnsiTheme="minorHAnsi"/>
              <w:noProof/>
              <w:sz w:val="24"/>
              <w:szCs w:val="24"/>
              <w:lang w:eastAsia="da-DK"/>
            </w:rPr>
          </w:pPr>
          <w:hyperlink w:anchor="_Toc198552622" w:history="1">
            <w:r w:rsidRPr="00DC2372">
              <w:rPr>
                <w:rStyle w:val="Hyperlink"/>
                <w:noProof/>
              </w:rPr>
              <w:t>4.2. Grundlæggende kriterier</w:t>
            </w:r>
            <w:r>
              <w:rPr>
                <w:noProof/>
                <w:webHidden/>
              </w:rPr>
              <w:tab/>
            </w:r>
            <w:r>
              <w:rPr>
                <w:noProof/>
                <w:webHidden/>
              </w:rPr>
              <w:fldChar w:fldCharType="begin"/>
            </w:r>
            <w:r>
              <w:rPr>
                <w:noProof/>
                <w:webHidden/>
              </w:rPr>
              <w:instrText xml:space="preserve"> PAGEREF _Toc198552622 \h </w:instrText>
            </w:r>
            <w:r>
              <w:rPr>
                <w:noProof/>
                <w:webHidden/>
              </w:rPr>
            </w:r>
            <w:r>
              <w:rPr>
                <w:noProof/>
                <w:webHidden/>
              </w:rPr>
              <w:fldChar w:fldCharType="separate"/>
            </w:r>
            <w:r w:rsidR="002701F9">
              <w:rPr>
                <w:noProof/>
                <w:webHidden/>
              </w:rPr>
              <w:t>6</w:t>
            </w:r>
            <w:r>
              <w:rPr>
                <w:noProof/>
                <w:webHidden/>
              </w:rPr>
              <w:fldChar w:fldCharType="end"/>
            </w:r>
          </w:hyperlink>
        </w:p>
        <w:p w14:paraId="7B625ECD" w14:textId="2AB20738" w:rsidR="00882B1B" w:rsidRDefault="00882B1B">
          <w:pPr>
            <w:pStyle w:val="Indholdsfortegnelse2"/>
            <w:tabs>
              <w:tab w:val="right" w:leader="dot" w:pos="9628"/>
            </w:tabs>
            <w:rPr>
              <w:rFonts w:asciiTheme="minorHAnsi" w:eastAsiaTheme="minorEastAsia" w:hAnsiTheme="minorHAnsi"/>
              <w:noProof/>
              <w:sz w:val="24"/>
              <w:szCs w:val="24"/>
              <w:lang w:eastAsia="da-DK"/>
            </w:rPr>
          </w:pPr>
          <w:hyperlink w:anchor="_Toc198552623" w:history="1">
            <w:r w:rsidRPr="00DC2372">
              <w:rPr>
                <w:rStyle w:val="Hyperlink"/>
                <w:noProof/>
              </w:rPr>
              <w:t>4.3. Oplagring, dokumentation og sporbarhed</w:t>
            </w:r>
            <w:r>
              <w:rPr>
                <w:noProof/>
                <w:webHidden/>
              </w:rPr>
              <w:tab/>
            </w:r>
            <w:r>
              <w:rPr>
                <w:noProof/>
                <w:webHidden/>
              </w:rPr>
              <w:fldChar w:fldCharType="begin"/>
            </w:r>
            <w:r>
              <w:rPr>
                <w:noProof/>
                <w:webHidden/>
              </w:rPr>
              <w:instrText xml:space="preserve"> PAGEREF _Toc198552623 \h </w:instrText>
            </w:r>
            <w:r>
              <w:rPr>
                <w:noProof/>
                <w:webHidden/>
              </w:rPr>
            </w:r>
            <w:r>
              <w:rPr>
                <w:noProof/>
                <w:webHidden/>
              </w:rPr>
              <w:fldChar w:fldCharType="separate"/>
            </w:r>
            <w:r w:rsidR="002701F9">
              <w:rPr>
                <w:noProof/>
                <w:webHidden/>
              </w:rPr>
              <w:t>7</w:t>
            </w:r>
            <w:r>
              <w:rPr>
                <w:noProof/>
                <w:webHidden/>
              </w:rPr>
              <w:fldChar w:fldCharType="end"/>
            </w:r>
          </w:hyperlink>
        </w:p>
        <w:p w14:paraId="07DBC74D" w14:textId="45B5AFF9" w:rsidR="00882B1B" w:rsidRDefault="00882B1B">
          <w:pPr>
            <w:pStyle w:val="Indholdsfortegnelse2"/>
            <w:tabs>
              <w:tab w:val="right" w:leader="dot" w:pos="9628"/>
            </w:tabs>
            <w:rPr>
              <w:rFonts w:asciiTheme="minorHAnsi" w:eastAsiaTheme="minorEastAsia" w:hAnsiTheme="minorHAnsi"/>
              <w:noProof/>
              <w:sz w:val="24"/>
              <w:szCs w:val="24"/>
              <w:lang w:eastAsia="da-DK"/>
            </w:rPr>
          </w:pPr>
          <w:hyperlink w:anchor="_Toc198552624" w:history="1">
            <w:r w:rsidRPr="00DC2372">
              <w:rPr>
                <w:rStyle w:val="Hyperlink"/>
                <w:noProof/>
              </w:rPr>
              <w:t>4.4. Region Midtjyllands særlige krav</w:t>
            </w:r>
            <w:r>
              <w:rPr>
                <w:noProof/>
                <w:webHidden/>
              </w:rPr>
              <w:tab/>
            </w:r>
            <w:r>
              <w:rPr>
                <w:noProof/>
                <w:webHidden/>
              </w:rPr>
              <w:fldChar w:fldCharType="begin"/>
            </w:r>
            <w:r>
              <w:rPr>
                <w:noProof/>
                <w:webHidden/>
              </w:rPr>
              <w:instrText xml:space="preserve"> PAGEREF _Toc198552624 \h </w:instrText>
            </w:r>
            <w:r>
              <w:rPr>
                <w:noProof/>
                <w:webHidden/>
              </w:rPr>
            </w:r>
            <w:r>
              <w:rPr>
                <w:noProof/>
                <w:webHidden/>
              </w:rPr>
              <w:fldChar w:fldCharType="separate"/>
            </w:r>
            <w:r w:rsidR="002701F9">
              <w:rPr>
                <w:noProof/>
                <w:webHidden/>
              </w:rPr>
              <w:t>7</w:t>
            </w:r>
            <w:r>
              <w:rPr>
                <w:noProof/>
                <w:webHidden/>
              </w:rPr>
              <w:fldChar w:fldCharType="end"/>
            </w:r>
          </w:hyperlink>
        </w:p>
        <w:p w14:paraId="15798CF2" w14:textId="5C476B36" w:rsidR="00882B1B" w:rsidRDefault="00882B1B">
          <w:pPr>
            <w:pStyle w:val="Indholdsfortegnelse1"/>
            <w:tabs>
              <w:tab w:val="left" w:pos="480"/>
              <w:tab w:val="right" w:leader="dot" w:pos="9628"/>
            </w:tabs>
            <w:rPr>
              <w:rFonts w:asciiTheme="minorHAnsi" w:eastAsiaTheme="minorEastAsia" w:hAnsiTheme="minorHAnsi"/>
              <w:noProof/>
              <w:sz w:val="24"/>
              <w:szCs w:val="24"/>
              <w:lang w:eastAsia="da-DK"/>
            </w:rPr>
          </w:pPr>
          <w:hyperlink w:anchor="_Toc198552625" w:history="1">
            <w:r w:rsidRPr="00DC2372">
              <w:rPr>
                <w:rStyle w:val="Hyperlink"/>
                <w:noProof/>
              </w:rPr>
              <w:t>5.</w:t>
            </w:r>
            <w:r>
              <w:rPr>
                <w:rFonts w:asciiTheme="minorHAnsi" w:eastAsiaTheme="minorEastAsia" w:hAnsiTheme="minorHAnsi"/>
                <w:noProof/>
                <w:sz w:val="24"/>
                <w:szCs w:val="24"/>
                <w:lang w:eastAsia="da-DK"/>
              </w:rPr>
              <w:tab/>
            </w:r>
            <w:r w:rsidRPr="00DC2372">
              <w:rPr>
                <w:rStyle w:val="Hyperlink"/>
                <w:noProof/>
              </w:rPr>
              <w:t>Arbejdsmiljø</w:t>
            </w:r>
            <w:r>
              <w:rPr>
                <w:noProof/>
                <w:webHidden/>
              </w:rPr>
              <w:tab/>
            </w:r>
            <w:r>
              <w:rPr>
                <w:noProof/>
                <w:webHidden/>
              </w:rPr>
              <w:fldChar w:fldCharType="begin"/>
            </w:r>
            <w:r>
              <w:rPr>
                <w:noProof/>
                <w:webHidden/>
              </w:rPr>
              <w:instrText xml:space="preserve"> PAGEREF _Toc198552625 \h </w:instrText>
            </w:r>
            <w:r>
              <w:rPr>
                <w:noProof/>
                <w:webHidden/>
              </w:rPr>
            </w:r>
            <w:r>
              <w:rPr>
                <w:noProof/>
                <w:webHidden/>
              </w:rPr>
              <w:fldChar w:fldCharType="separate"/>
            </w:r>
            <w:r w:rsidR="002701F9">
              <w:rPr>
                <w:noProof/>
                <w:webHidden/>
              </w:rPr>
              <w:t>9</w:t>
            </w:r>
            <w:r>
              <w:rPr>
                <w:noProof/>
                <w:webHidden/>
              </w:rPr>
              <w:fldChar w:fldCharType="end"/>
            </w:r>
          </w:hyperlink>
        </w:p>
        <w:p w14:paraId="7320EDB0" w14:textId="14C4F9D0" w:rsidR="00882B1B" w:rsidRDefault="00882B1B">
          <w:pPr>
            <w:pStyle w:val="Indholdsfortegnelse2"/>
            <w:tabs>
              <w:tab w:val="right" w:leader="dot" w:pos="9628"/>
            </w:tabs>
            <w:rPr>
              <w:rFonts w:asciiTheme="minorHAnsi" w:eastAsiaTheme="minorEastAsia" w:hAnsiTheme="minorHAnsi"/>
              <w:noProof/>
              <w:sz w:val="24"/>
              <w:szCs w:val="24"/>
              <w:lang w:eastAsia="da-DK"/>
            </w:rPr>
          </w:pPr>
          <w:hyperlink w:anchor="_Toc198552626" w:history="1">
            <w:r w:rsidRPr="00DC2372">
              <w:rPr>
                <w:rStyle w:val="Hyperlink"/>
                <w:noProof/>
              </w:rPr>
              <w:t>5.1. Særligt farligt arbejde</w:t>
            </w:r>
            <w:r>
              <w:rPr>
                <w:noProof/>
                <w:webHidden/>
              </w:rPr>
              <w:tab/>
            </w:r>
            <w:r>
              <w:rPr>
                <w:noProof/>
                <w:webHidden/>
              </w:rPr>
              <w:fldChar w:fldCharType="begin"/>
            </w:r>
            <w:r>
              <w:rPr>
                <w:noProof/>
                <w:webHidden/>
              </w:rPr>
              <w:instrText xml:space="preserve"> PAGEREF _Toc198552626 \h </w:instrText>
            </w:r>
            <w:r>
              <w:rPr>
                <w:noProof/>
                <w:webHidden/>
              </w:rPr>
            </w:r>
            <w:r>
              <w:rPr>
                <w:noProof/>
                <w:webHidden/>
              </w:rPr>
              <w:fldChar w:fldCharType="separate"/>
            </w:r>
            <w:r w:rsidR="002701F9">
              <w:rPr>
                <w:noProof/>
                <w:webHidden/>
              </w:rPr>
              <w:t>9</w:t>
            </w:r>
            <w:r>
              <w:rPr>
                <w:noProof/>
                <w:webHidden/>
              </w:rPr>
              <w:fldChar w:fldCharType="end"/>
            </w:r>
          </w:hyperlink>
        </w:p>
        <w:p w14:paraId="514B679B" w14:textId="7D80E1B7" w:rsidR="00882B1B" w:rsidRDefault="00882B1B">
          <w:pPr>
            <w:pStyle w:val="Indholdsfortegnelse2"/>
            <w:tabs>
              <w:tab w:val="right" w:leader="dot" w:pos="9628"/>
            </w:tabs>
            <w:rPr>
              <w:rFonts w:asciiTheme="minorHAnsi" w:eastAsiaTheme="minorEastAsia" w:hAnsiTheme="minorHAnsi"/>
              <w:noProof/>
              <w:sz w:val="24"/>
              <w:szCs w:val="24"/>
              <w:lang w:eastAsia="da-DK"/>
            </w:rPr>
          </w:pPr>
          <w:hyperlink w:anchor="_Toc198552627" w:history="1">
            <w:r w:rsidRPr="00DC2372">
              <w:rPr>
                <w:rStyle w:val="Hyperlink"/>
                <w:noProof/>
              </w:rPr>
              <w:t>5.2. Byggepladsens indretning</w:t>
            </w:r>
            <w:r>
              <w:rPr>
                <w:noProof/>
                <w:webHidden/>
              </w:rPr>
              <w:tab/>
            </w:r>
            <w:r>
              <w:rPr>
                <w:noProof/>
                <w:webHidden/>
              </w:rPr>
              <w:fldChar w:fldCharType="begin"/>
            </w:r>
            <w:r>
              <w:rPr>
                <w:noProof/>
                <w:webHidden/>
              </w:rPr>
              <w:instrText xml:space="preserve"> PAGEREF _Toc198552627 \h </w:instrText>
            </w:r>
            <w:r>
              <w:rPr>
                <w:noProof/>
                <w:webHidden/>
              </w:rPr>
            </w:r>
            <w:r>
              <w:rPr>
                <w:noProof/>
                <w:webHidden/>
              </w:rPr>
              <w:fldChar w:fldCharType="separate"/>
            </w:r>
            <w:r w:rsidR="002701F9">
              <w:rPr>
                <w:noProof/>
                <w:webHidden/>
              </w:rPr>
              <w:t>9</w:t>
            </w:r>
            <w:r>
              <w:rPr>
                <w:noProof/>
                <w:webHidden/>
              </w:rPr>
              <w:fldChar w:fldCharType="end"/>
            </w:r>
          </w:hyperlink>
        </w:p>
        <w:p w14:paraId="54D28A16" w14:textId="09E69C69" w:rsidR="00882B1B" w:rsidRDefault="00882B1B">
          <w:pPr>
            <w:pStyle w:val="Indholdsfortegnelse1"/>
            <w:tabs>
              <w:tab w:val="left" w:pos="480"/>
              <w:tab w:val="right" w:leader="dot" w:pos="9628"/>
            </w:tabs>
            <w:rPr>
              <w:rFonts w:asciiTheme="minorHAnsi" w:eastAsiaTheme="minorEastAsia" w:hAnsiTheme="minorHAnsi"/>
              <w:noProof/>
              <w:sz w:val="24"/>
              <w:szCs w:val="24"/>
              <w:lang w:eastAsia="da-DK"/>
            </w:rPr>
          </w:pPr>
          <w:hyperlink w:anchor="_Toc198552628" w:history="1">
            <w:r w:rsidRPr="00DC2372">
              <w:rPr>
                <w:rStyle w:val="Hyperlink"/>
                <w:noProof/>
              </w:rPr>
              <w:t>6.</w:t>
            </w:r>
            <w:r>
              <w:rPr>
                <w:rFonts w:asciiTheme="minorHAnsi" w:eastAsiaTheme="minorEastAsia" w:hAnsiTheme="minorHAnsi"/>
                <w:noProof/>
                <w:sz w:val="24"/>
                <w:szCs w:val="24"/>
                <w:lang w:eastAsia="da-DK"/>
              </w:rPr>
              <w:tab/>
            </w:r>
            <w:r w:rsidRPr="00DC2372">
              <w:rPr>
                <w:rStyle w:val="Hyperlink"/>
                <w:noProof/>
              </w:rPr>
              <w:t>Bilagsliste</w:t>
            </w:r>
            <w:r>
              <w:rPr>
                <w:noProof/>
                <w:webHidden/>
              </w:rPr>
              <w:tab/>
            </w:r>
            <w:r>
              <w:rPr>
                <w:noProof/>
                <w:webHidden/>
              </w:rPr>
              <w:fldChar w:fldCharType="begin"/>
            </w:r>
            <w:r>
              <w:rPr>
                <w:noProof/>
                <w:webHidden/>
              </w:rPr>
              <w:instrText xml:space="preserve"> PAGEREF _Toc198552628 \h </w:instrText>
            </w:r>
            <w:r>
              <w:rPr>
                <w:noProof/>
                <w:webHidden/>
              </w:rPr>
            </w:r>
            <w:r>
              <w:rPr>
                <w:noProof/>
                <w:webHidden/>
              </w:rPr>
              <w:fldChar w:fldCharType="separate"/>
            </w:r>
            <w:r w:rsidR="002701F9">
              <w:rPr>
                <w:noProof/>
                <w:webHidden/>
              </w:rPr>
              <w:t>10</w:t>
            </w:r>
            <w:r>
              <w:rPr>
                <w:noProof/>
                <w:webHidden/>
              </w:rPr>
              <w:fldChar w:fldCharType="end"/>
            </w:r>
          </w:hyperlink>
        </w:p>
        <w:p w14:paraId="2EDC440B" w14:textId="2C085399" w:rsidR="0080077D" w:rsidRDefault="0080077D">
          <w:r>
            <w:rPr>
              <w:b/>
              <w:bCs/>
            </w:rPr>
            <w:fldChar w:fldCharType="end"/>
          </w:r>
        </w:p>
      </w:sdtContent>
    </w:sdt>
    <w:p w14:paraId="50548540" w14:textId="3B6F0E7A" w:rsidR="005E7712" w:rsidRPr="00BF1290" w:rsidRDefault="00C57B41" w:rsidP="00BC7E05">
      <w:pPr>
        <w:spacing w:after="160"/>
      </w:pPr>
      <w:r>
        <w:br w:type="page"/>
      </w:r>
    </w:p>
    <w:p w14:paraId="4030B48E" w14:textId="6185A886" w:rsidR="00B12A12" w:rsidRPr="00882B1B" w:rsidRDefault="00B12A12" w:rsidP="00183944">
      <w:pPr>
        <w:pStyle w:val="Overskrift1"/>
      </w:pPr>
      <w:bookmarkStart w:id="0" w:name="_Toc198552611"/>
      <w:r w:rsidRPr="00882B1B">
        <w:lastRenderedPageBreak/>
        <w:t>Formål</w:t>
      </w:r>
      <w:bookmarkEnd w:id="0"/>
    </w:p>
    <w:p w14:paraId="6D5F8D92" w14:textId="77777777" w:rsidR="00BA0678" w:rsidRPr="00BA0678" w:rsidRDefault="00BA0678" w:rsidP="00BC7E05">
      <w:pPr>
        <w:jc w:val="both"/>
      </w:pPr>
    </w:p>
    <w:p w14:paraId="1E0F8BD3" w14:textId="17A3744A" w:rsidR="00F10A10" w:rsidRDefault="00F10A10" w:rsidP="00BC7E05">
      <w:pPr>
        <w:jc w:val="both"/>
      </w:pPr>
      <w:r>
        <w:t>Miljøstyrelsen har peget på konkrete tiltag, der skal være med til at sikre øget genbrug og genanvendelse af det affald, som byggebranchen genererer ved nedrivning af bygninger.</w:t>
      </w:r>
    </w:p>
    <w:p w14:paraId="47105EEA" w14:textId="77777777" w:rsidR="00F10A10" w:rsidRDefault="00F10A10" w:rsidP="00BC7E05">
      <w:pPr>
        <w:jc w:val="both"/>
      </w:pPr>
    </w:p>
    <w:p w14:paraId="1D5D11D0" w14:textId="13FF4EFF" w:rsidR="00F10A10" w:rsidRDefault="00F10A10" w:rsidP="00BC7E05">
      <w:pPr>
        <w:jc w:val="both"/>
      </w:pPr>
      <w:r w:rsidRPr="00F10A10">
        <w:t>Ved selektiv nedrivning nedtages en bygning på en sådan måde, at bygningens materialer kan udtages og sorteres korrekt</w:t>
      </w:r>
      <w:r w:rsidR="00867127">
        <w:t>. Forventningen er at materialerne</w:t>
      </w:r>
      <w:r w:rsidRPr="00F10A10">
        <w:t xml:space="preserve"> anvendes så tæt på deres oprindelige funktion som muligt, og dermed også så højt oppe i affaldshierarkiet som muligt</w:t>
      </w:r>
      <w:r w:rsidR="00867127">
        <w:t>. D</w:t>
      </w:r>
      <w:r w:rsidRPr="00F10A10">
        <w:t>og med hensyntagen til en samlet vurdering af miljøeffekter og omkostninger. Selektiv nedrivning sikrer også, at materialer med miljø- og sundhedsskadelige stoffer kan blive udsorteret til bortskaffelse, så de ikke føres tilbage i de</w:t>
      </w:r>
      <w:r w:rsidR="00867127">
        <w:t>t</w:t>
      </w:r>
      <w:r w:rsidRPr="00F10A10">
        <w:t xml:space="preserve"> cirkulære kredsløb.</w:t>
      </w:r>
    </w:p>
    <w:p w14:paraId="65B58D82" w14:textId="77777777" w:rsidR="005261B8" w:rsidRDefault="005261B8" w:rsidP="00BC7E05">
      <w:pPr>
        <w:jc w:val="both"/>
      </w:pPr>
    </w:p>
    <w:p w14:paraId="05E4AB4E" w14:textId="2C13B336" w:rsidR="00834E81" w:rsidRPr="00244703" w:rsidRDefault="00BC2D58" w:rsidP="00BC7E05">
      <w:pPr>
        <w:pStyle w:val="Overskrift2"/>
        <w:spacing w:before="0"/>
        <w:jc w:val="both"/>
        <w:rPr>
          <w:rStyle w:val="Overskrift2Tegn"/>
        </w:rPr>
      </w:pPr>
      <w:bookmarkStart w:id="1" w:name="_Toc198552612"/>
      <w:r w:rsidRPr="00BC2D58">
        <w:t>1.</w:t>
      </w:r>
      <w:r>
        <w:t xml:space="preserve">1. </w:t>
      </w:r>
      <w:r w:rsidR="00834E81" w:rsidRPr="00244703">
        <w:rPr>
          <w:rStyle w:val="Overskrift2Tegn"/>
        </w:rPr>
        <w:t>Grundlag for selektiv nedrivning</w:t>
      </w:r>
      <w:bookmarkEnd w:id="1"/>
    </w:p>
    <w:p w14:paraId="0E09E96F" w14:textId="77777777" w:rsidR="005261B8" w:rsidRPr="005261B8" w:rsidRDefault="005261B8" w:rsidP="00BC7E05">
      <w:pPr>
        <w:pStyle w:val="Listeafsnit"/>
        <w:jc w:val="both"/>
      </w:pPr>
    </w:p>
    <w:p w14:paraId="54E015C0" w14:textId="77777777" w:rsidR="00B425D2" w:rsidRDefault="00B425D2" w:rsidP="00BC7E05">
      <w:pPr>
        <w:jc w:val="both"/>
        <w:rPr>
          <w:b/>
          <w:bCs/>
        </w:rPr>
      </w:pPr>
      <w:r w:rsidRPr="00640AC9">
        <w:rPr>
          <w:b/>
          <w:bCs/>
        </w:rPr>
        <w:t>Nye regler pr. 1. juli 2024</w:t>
      </w:r>
    </w:p>
    <w:p w14:paraId="6CE26F86" w14:textId="6C42D2E4" w:rsidR="007A7E9C" w:rsidRPr="00640AC9" w:rsidRDefault="00C94D50" w:rsidP="00BC7E05">
      <w:pPr>
        <w:jc w:val="both"/>
        <w:rPr>
          <w:b/>
          <w:bCs/>
        </w:rPr>
      </w:pPr>
      <w:r>
        <w:t>Bekendtgørelse</w:t>
      </w:r>
      <w:r w:rsidR="007A7E9C">
        <w:t xml:space="preserve"> om håndtering af materialer og affald fra bygge- og nedrivningsarbejde</w:t>
      </w:r>
      <w:r w:rsidR="007B2D06">
        <w:t>:</w:t>
      </w:r>
      <w:r>
        <w:t xml:space="preserve"> </w:t>
      </w:r>
    </w:p>
    <w:p w14:paraId="164EFEA7" w14:textId="77777777" w:rsidR="00C94D50" w:rsidRDefault="00C94D50" w:rsidP="00BC7E05">
      <w:pPr>
        <w:jc w:val="both"/>
      </w:pPr>
    </w:p>
    <w:p w14:paraId="6A24CF25" w14:textId="509E26D4" w:rsidR="00C94D50" w:rsidRDefault="00C94D50" w:rsidP="00BC7E05">
      <w:pPr>
        <w:pStyle w:val="Listeafsnit"/>
        <w:numPr>
          <w:ilvl w:val="0"/>
          <w:numId w:val="2"/>
        </w:numPr>
        <w:jc w:val="both"/>
      </w:pPr>
      <w:r>
        <w:t>Nedrivningsarbejde, renoveringsarbejde og vedligeholdelsesarbejde af bygninger eller anlæg eller dele heraf, der frembringer mere end 1 ton affald</w:t>
      </w:r>
    </w:p>
    <w:p w14:paraId="0574F82E" w14:textId="77777777" w:rsidR="00C94D50" w:rsidRDefault="00C94D50" w:rsidP="00BC7E05">
      <w:pPr>
        <w:jc w:val="both"/>
      </w:pPr>
    </w:p>
    <w:p w14:paraId="0316111E" w14:textId="646B18A9" w:rsidR="00C94D50" w:rsidRDefault="00C94D50" w:rsidP="00BC7E05">
      <w:pPr>
        <w:pStyle w:val="Listeafsnit"/>
        <w:numPr>
          <w:ilvl w:val="0"/>
          <w:numId w:val="2"/>
        </w:numPr>
        <w:jc w:val="both"/>
      </w:pPr>
      <w:r>
        <w:t>Udskiftning af termoruder, der kan være fremstillet i perioden 01.01.1950 – 31.12.1977</w:t>
      </w:r>
    </w:p>
    <w:p w14:paraId="75A3671E" w14:textId="77777777" w:rsidR="00C94D50" w:rsidRDefault="00C94D50" w:rsidP="00BC7E05">
      <w:pPr>
        <w:jc w:val="both"/>
      </w:pPr>
    </w:p>
    <w:p w14:paraId="6240BD54" w14:textId="55B7D72B" w:rsidR="00C94D50" w:rsidRPr="00867127" w:rsidRDefault="00C94D50" w:rsidP="00BC7E05">
      <w:pPr>
        <w:jc w:val="both"/>
        <w:rPr>
          <w:u w:val="single"/>
        </w:rPr>
      </w:pPr>
      <w:r w:rsidRPr="00867127">
        <w:rPr>
          <w:u w:val="single"/>
        </w:rPr>
        <w:t xml:space="preserve">Bygherren skal ved afslutning af byggearbejdet, </w:t>
      </w:r>
      <w:r w:rsidR="00867127" w:rsidRPr="00867127">
        <w:rPr>
          <w:u w:val="single"/>
        </w:rPr>
        <w:t xml:space="preserve">dog </w:t>
      </w:r>
      <w:r w:rsidRPr="00867127">
        <w:rPr>
          <w:u w:val="single"/>
        </w:rPr>
        <w:t>senest 3 uger efter, orientere følgende om, at arbejdet er afsluttet:</w:t>
      </w:r>
    </w:p>
    <w:p w14:paraId="62069EFB" w14:textId="77777777" w:rsidR="00C94D50" w:rsidRDefault="00C94D50" w:rsidP="00BC7E05">
      <w:pPr>
        <w:jc w:val="both"/>
      </w:pPr>
    </w:p>
    <w:p w14:paraId="380A0827" w14:textId="1BC34075" w:rsidR="00C94D50" w:rsidRDefault="00C94D50" w:rsidP="00BC7E05">
      <w:pPr>
        <w:pStyle w:val="Listeafsnit"/>
        <w:numPr>
          <w:ilvl w:val="0"/>
          <w:numId w:val="3"/>
        </w:numPr>
        <w:jc w:val="both"/>
      </w:pPr>
      <w:r>
        <w:t>De sorterings- eller affaldsbehandlingsanl</w:t>
      </w:r>
      <w:r w:rsidR="00640AC9">
        <w:t>æ</w:t>
      </w:r>
      <w:r>
        <w:t>g, der modtager det sidste affald fra byggearbejdet</w:t>
      </w:r>
    </w:p>
    <w:p w14:paraId="2AD1059B" w14:textId="11EFAAEA" w:rsidR="00C94D50" w:rsidRDefault="00640AC9" w:rsidP="00BC7E05">
      <w:pPr>
        <w:pStyle w:val="Listeafsnit"/>
        <w:numPr>
          <w:ilvl w:val="0"/>
          <w:numId w:val="3"/>
        </w:numPr>
        <w:jc w:val="both"/>
      </w:pPr>
      <w:r>
        <w:t>Kommunalbestyrelsen i den kommune, der har behandlet affaldsanmeldelsen</w:t>
      </w:r>
    </w:p>
    <w:p w14:paraId="6023E584" w14:textId="77777777" w:rsidR="00640AC9" w:rsidRDefault="00640AC9" w:rsidP="00BC7E05">
      <w:pPr>
        <w:jc w:val="both"/>
      </w:pPr>
    </w:p>
    <w:p w14:paraId="34B18DEE" w14:textId="77777777" w:rsidR="00640AC9" w:rsidRDefault="00640AC9" w:rsidP="00BC7E05">
      <w:pPr>
        <w:jc w:val="both"/>
      </w:pPr>
    </w:p>
    <w:p w14:paraId="729C79BE" w14:textId="77777777" w:rsidR="007B2D06" w:rsidRDefault="007B2D06" w:rsidP="00BC7E05">
      <w:pPr>
        <w:jc w:val="both"/>
      </w:pPr>
      <w:r>
        <w:rPr>
          <w:b/>
          <w:bCs/>
        </w:rPr>
        <w:t xml:space="preserve">Nye regler </w:t>
      </w:r>
      <w:r w:rsidRPr="00640AC9">
        <w:rPr>
          <w:b/>
          <w:bCs/>
        </w:rPr>
        <w:t>pr. 1. juli 2025</w:t>
      </w:r>
    </w:p>
    <w:p w14:paraId="7D2FF762" w14:textId="1E889D8F" w:rsidR="00640AC9" w:rsidRDefault="00640AC9" w:rsidP="00BC7E05">
      <w:pPr>
        <w:jc w:val="both"/>
      </w:pPr>
      <w:r>
        <w:t xml:space="preserve">Bekendtgørelse om selektiv nedrivning </w:t>
      </w:r>
      <w:r w:rsidR="0015228F">
        <w:t>indeholder følgende regler</w:t>
      </w:r>
      <w:r w:rsidRPr="00640AC9">
        <w:t>:</w:t>
      </w:r>
    </w:p>
    <w:p w14:paraId="3AB3993A" w14:textId="77777777" w:rsidR="0015228F" w:rsidRDefault="0015228F" w:rsidP="00BC7E05">
      <w:pPr>
        <w:jc w:val="both"/>
      </w:pPr>
    </w:p>
    <w:p w14:paraId="74C6E502" w14:textId="371A4D04" w:rsidR="00C94D50" w:rsidRPr="00F10A10" w:rsidRDefault="0015228F" w:rsidP="00BC7E05">
      <w:pPr>
        <w:jc w:val="both"/>
        <w:rPr>
          <w:u w:val="single"/>
        </w:rPr>
      </w:pPr>
      <w:r w:rsidRPr="00F10A10">
        <w:rPr>
          <w:u w:val="single"/>
        </w:rPr>
        <w:t>Selektiv nedrivning</w:t>
      </w:r>
    </w:p>
    <w:p w14:paraId="770D0C5F" w14:textId="7A113A02" w:rsidR="007D2748" w:rsidRPr="007D2748" w:rsidRDefault="00640AC9" w:rsidP="00BC7E05">
      <w:pPr>
        <w:pStyle w:val="Default"/>
        <w:numPr>
          <w:ilvl w:val="0"/>
          <w:numId w:val="4"/>
        </w:numPr>
        <w:jc w:val="both"/>
        <w:rPr>
          <w:rFonts w:ascii="Verdana" w:hAnsi="Verdana"/>
          <w:color w:val="auto"/>
          <w:sz w:val="20"/>
          <w:szCs w:val="20"/>
        </w:rPr>
      </w:pPr>
      <w:r w:rsidRPr="007D2748">
        <w:rPr>
          <w:rFonts w:ascii="Verdana" w:hAnsi="Verdana"/>
          <w:color w:val="auto"/>
          <w:sz w:val="20"/>
          <w:szCs w:val="20"/>
        </w:rPr>
        <w:t>Nedrivningsarbejde, hvorved hele eller dele af en bygning fuldstændigt fjernes, skal ske som selektiv nedrivning, hvis det fjernede etageareal udgør mindst 250 m</w:t>
      </w:r>
      <w:r w:rsidRPr="00244703">
        <w:rPr>
          <w:rFonts w:ascii="Verdana" w:hAnsi="Verdana"/>
          <w:color w:val="auto"/>
          <w:sz w:val="20"/>
          <w:szCs w:val="20"/>
          <w:vertAlign w:val="superscript"/>
        </w:rPr>
        <w:t>2</w:t>
      </w:r>
      <w:r w:rsidR="00047643">
        <w:rPr>
          <w:rFonts w:ascii="Verdana" w:hAnsi="Verdana"/>
          <w:color w:val="auto"/>
          <w:sz w:val="20"/>
          <w:szCs w:val="20"/>
        </w:rPr>
        <w:t xml:space="preserve">, </w:t>
      </w:r>
      <w:r w:rsidR="007D2748" w:rsidRPr="007D2748">
        <w:rPr>
          <w:rFonts w:ascii="Verdana" w:hAnsi="Verdana"/>
          <w:color w:val="auto"/>
          <w:sz w:val="20"/>
          <w:szCs w:val="20"/>
        </w:rPr>
        <w:t>og</w:t>
      </w:r>
      <w:r w:rsidR="007D2748">
        <w:rPr>
          <w:rFonts w:ascii="Verdana" w:hAnsi="Verdana"/>
          <w:color w:val="auto"/>
          <w:sz w:val="20"/>
          <w:szCs w:val="20"/>
        </w:rPr>
        <w:t xml:space="preserve"> </w:t>
      </w:r>
      <w:r w:rsidR="00047643">
        <w:rPr>
          <w:rFonts w:ascii="Verdana" w:hAnsi="Verdana"/>
          <w:color w:val="auto"/>
          <w:sz w:val="20"/>
          <w:szCs w:val="20"/>
        </w:rPr>
        <w:t xml:space="preserve">skal </w:t>
      </w:r>
      <w:r w:rsidR="00F07348">
        <w:rPr>
          <w:rFonts w:ascii="Verdana" w:hAnsi="Verdana"/>
          <w:color w:val="auto"/>
          <w:sz w:val="20"/>
          <w:szCs w:val="20"/>
        </w:rPr>
        <w:t xml:space="preserve">i så fald </w:t>
      </w:r>
      <w:r w:rsidR="007D2748">
        <w:rPr>
          <w:rFonts w:ascii="Verdana" w:hAnsi="Verdana"/>
          <w:color w:val="auto"/>
          <w:sz w:val="20"/>
          <w:szCs w:val="20"/>
        </w:rPr>
        <w:t>udføres</w:t>
      </w:r>
      <w:r w:rsidR="007D2748" w:rsidRPr="007D2748">
        <w:rPr>
          <w:rFonts w:ascii="Verdana" w:hAnsi="Verdana"/>
          <w:color w:val="auto"/>
          <w:sz w:val="20"/>
          <w:szCs w:val="20"/>
        </w:rPr>
        <w:t xml:space="preserve"> i overensstemmelse med</w:t>
      </w:r>
      <w:r w:rsidR="007D2748">
        <w:rPr>
          <w:rFonts w:ascii="Verdana" w:hAnsi="Verdana"/>
          <w:color w:val="auto"/>
          <w:sz w:val="20"/>
          <w:szCs w:val="20"/>
        </w:rPr>
        <w:t>:</w:t>
      </w:r>
      <w:r w:rsidR="007D2748" w:rsidRPr="007D2748">
        <w:rPr>
          <w:rFonts w:ascii="Verdana" w:hAnsi="Verdana"/>
          <w:color w:val="auto"/>
          <w:sz w:val="20"/>
          <w:szCs w:val="20"/>
        </w:rPr>
        <w:t xml:space="preserve"> </w:t>
      </w:r>
    </w:p>
    <w:p w14:paraId="2B367E64" w14:textId="27C8CB97" w:rsidR="007D2748" w:rsidRPr="007D2748" w:rsidRDefault="00AC65E8" w:rsidP="00BC7E05">
      <w:pPr>
        <w:pStyle w:val="Default"/>
        <w:numPr>
          <w:ilvl w:val="0"/>
          <w:numId w:val="4"/>
        </w:numPr>
        <w:jc w:val="both"/>
        <w:rPr>
          <w:rFonts w:ascii="Verdana" w:hAnsi="Verdana"/>
          <w:color w:val="auto"/>
          <w:sz w:val="20"/>
          <w:szCs w:val="20"/>
        </w:rPr>
      </w:pPr>
      <w:r>
        <w:rPr>
          <w:rFonts w:ascii="Verdana" w:hAnsi="Verdana"/>
          <w:color w:val="auto"/>
          <w:sz w:val="20"/>
          <w:szCs w:val="20"/>
        </w:rPr>
        <w:t>B</w:t>
      </w:r>
      <w:r w:rsidR="007D2748" w:rsidRPr="007D2748">
        <w:rPr>
          <w:rFonts w:ascii="Verdana" w:hAnsi="Verdana"/>
          <w:color w:val="auto"/>
          <w:sz w:val="20"/>
          <w:szCs w:val="20"/>
        </w:rPr>
        <w:t xml:space="preserve">ilag </w:t>
      </w:r>
      <w:r>
        <w:rPr>
          <w:rFonts w:ascii="Verdana" w:hAnsi="Verdana"/>
          <w:color w:val="auto"/>
          <w:sz w:val="20"/>
          <w:szCs w:val="20"/>
        </w:rPr>
        <w:t>1</w:t>
      </w:r>
      <w:r w:rsidR="007D2748" w:rsidRPr="007D2748">
        <w:rPr>
          <w:rFonts w:ascii="Verdana" w:hAnsi="Verdana"/>
          <w:color w:val="auto"/>
          <w:sz w:val="20"/>
          <w:szCs w:val="20"/>
        </w:rPr>
        <w:t xml:space="preserve"> – </w:t>
      </w:r>
      <w:r>
        <w:rPr>
          <w:rFonts w:ascii="Verdana" w:hAnsi="Verdana"/>
          <w:color w:val="auto"/>
          <w:sz w:val="20"/>
          <w:szCs w:val="20"/>
        </w:rPr>
        <w:t>F</w:t>
      </w:r>
      <w:r w:rsidR="00D33B1B">
        <w:rPr>
          <w:rFonts w:ascii="Verdana" w:hAnsi="Verdana"/>
          <w:color w:val="auto"/>
          <w:sz w:val="20"/>
          <w:szCs w:val="20"/>
        </w:rPr>
        <w:t>remgangsmåde ved</w:t>
      </w:r>
      <w:r w:rsidR="007D2748" w:rsidRPr="007D2748">
        <w:rPr>
          <w:rFonts w:ascii="Verdana" w:hAnsi="Verdana"/>
          <w:color w:val="auto"/>
          <w:sz w:val="20"/>
          <w:szCs w:val="20"/>
        </w:rPr>
        <w:t xml:space="preserve"> selektiv nedrivning  </w:t>
      </w:r>
    </w:p>
    <w:p w14:paraId="35E7DC88" w14:textId="1FEB4FFD" w:rsidR="00640AC9" w:rsidRPr="007D2748" w:rsidRDefault="007D2748" w:rsidP="00BC7E05">
      <w:pPr>
        <w:pStyle w:val="Default"/>
        <w:numPr>
          <w:ilvl w:val="0"/>
          <w:numId w:val="4"/>
        </w:numPr>
        <w:jc w:val="both"/>
        <w:rPr>
          <w:rFonts w:ascii="Verdana" w:hAnsi="Verdana"/>
          <w:color w:val="auto"/>
          <w:sz w:val="20"/>
          <w:szCs w:val="20"/>
        </w:rPr>
      </w:pPr>
      <w:r w:rsidRPr="007D2748">
        <w:rPr>
          <w:rFonts w:ascii="Verdana" w:hAnsi="Verdana"/>
          <w:color w:val="auto"/>
          <w:sz w:val="20"/>
          <w:szCs w:val="20"/>
        </w:rPr>
        <w:t xml:space="preserve">Bilag </w:t>
      </w:r>
      <w:r w:rsidR="00AC65E8">
        <w:rPr>
          <w:rFonts w:ascii="Verdana" w:hAnsi="Verdana"/>
          <w:color w:val="auto"/>
          <w:sz w:val="20"/>
          <w:szCs w:val="20"/>
        </w:rPr>
        <w:t>2</w:t>
      </w:r>
      <w:r w:rsidRPr="007D2748">
        <w:rPr>
          <w:rFonts w:ascii="Verdana" w:hAnsi="Verdana"/>
          <w:color w:val="auto"/>
          <w:sz w:val="20"/>
          <w:szCs w:val="20"/>
        </w:rPr>
        <w:t xml:space="preserve"> – Standardiseret nedrivningsplan</w:t>
      </w:r>
      <w:r w:rsidR="00640AC9" w:rsidRPr="007D2748">
        <w:rPr>
          <w:rFonts w:ascii="Verdana" w:hAnsi="Verdana"/>
          <w:color w:val="auto"/>
          <w:sz w:val="20"/>
          <w:szCs w:val="20"/>
        </w:rPr>
        <w:t xml:space="preserve"> </w:t>
      </w:r>
    </w:p>
    <w:p w14:paraId="0D9DE12A" w14:textId="77777777" w:rsidR="0015228F" w:rsidRDefault="0015228F" w:rsidP="00BC7E05">
      <w:pPr>
        <w:pStyle w:val="Default"/>
        <w:jc w:val="both"/>
        <w:rPr>
          <w:rFonts w:ascii="Verdana" w:hAnsi="Verdana"/>
          <w:color w:val="auto"/>
          <w:sz w:val="20"/>
          <w:szCs w:val="20"/>
        </w:rPr>
      </w:pPr>
    </w:p>
    <w:p w14:paraId="64820E30" w14:textId="4449E3A6" w:rsidR="0015228F" w:rsidRPr="00BA0678" w:rsidRDefault="0015228F" w:rsidP="00BC7E05">
      <w:pPr>
        <w:pStyle w:val="Default"/>
        <w:jc w:val="both"/>
        <w:rPr>
          <w:rFonts w:ascii="Verdana" w:hAnsi="Verdana"/>
          <w:color w:val="auto"/>
          <w:sz w:val="20"/>
          <w:szCs w:val="20"/>
          <w:u w:val="single"/>
        </w:rPr>
      </w:pPr>
      <w:r w:rsidRPr="00BA0678">
        <w:rPr>
          <w:rFonts w:ascii="Verdana" w:hAnsi="Verdana"/>
          <w:color w:val="auto"/>
          <w:sz w:val="20"/>
          <w:szCs w:val="20"/>
          <w:u w:val="single"/>
        </w:rPr>
        <w:t>Miljø- og ressourcekoordinator</w:t>
      </w:r>
      <w:r w:rsidR="00BA0678">
        <w:rPr>
          <w:rFonts w:ascii="Verdana" w:hAnsi="Verdana"/>
          <w:color w:val="auto"/>
          <w:sz w:val="20"/>
          <w:szCs w:val="20"/>
          <w:u w:val="single"/>
        </w:rPr>
        <w:t xml:space="preserve"> (MRK)</w:t>
      </w:r>
    </w:p>
    <w:p w14:paraId="1A223CC8" w14:textId="5EEFB8EA" w:rsidR="0015228F" w:rsidRPr="00BA0678" w:rsidRDefault="00BA0678" w:rsidP="00BC7E05">
      <w:pPr>
        <w:pStyle w:val="Default"/>
        <w:jc w:val="both"/>
        <w:rPr>
          <w:rFonts w:ascii="Verdana" w:hAnsi="Verdana"/>
          <w:color w:val="auto"/>
          <w:sz w:val="20"/>
          <w:szCs w:val="20"/>
        </w:rPr>
      </w:pPr>
      <w:r w:rsidRPr="00BA0678">
        <w:rPr>
          <w:rFonts w:ascii="Verdana" w:hAnsi="Verdana"/>
          <w:color w:val="auto"/>
          <w:sz w:val="20"/>
          <w:szCs w:val="20"/>
        </w:rPr>
        <w:t xml:space="preserve">En miljø- og ressourcekoordinator uddannes til at varetage koordineringsarbejdet med nedrivningsplanen og </w:t>
      </w:r>
      <w:r w:rsidR="007A2A94">
        <w:rPr>
          <w:rFonts w:ascii="Verdana" w:hAnsi="Verdana"/>
          <w:color w:val="auto"/>
          <w:sz w:val="20"/>
          <w:szCs w:val="20"/>
        </w:rPr>
        <w:t xml:space="preserve">skal </w:t>
      </w:r>
      <w:r w:rsidRPr="00BA0678">
        <w:rPr>
          <w:rFonts w:ascii="Verdana" w:hAnsi="Verdana"/>
          <w:color w:val="auto"/>
          <w:sz w:val="20"/>
          <w:szCs w:val="20"/>
        </w:rPr>
        <w:t>derved sikre, at nedrivningen udføres efter principperne for selektiv nedrivning, herunder udarbejdelse af en miljø- og ressourceplan. Koordinatoren ses som bygherres forlængede arm.</w:t>
      </w:r>
      <w:r w:rsidR="007871A9">
        <w:rPr>
          <w:rFonts w:ascii="Verdana" w:hAnsi="Verdana"/>
          <w:color w:val="auto"/>
          <w:sz w:val="20"/>
          <w:szCs w:val="20"/>
        </w:rPr>
        <w:t xml:space="preserve"> Det er bygherres ansvar</w:t>
      </w:r>
      <w:r w:rsidR="007A2A94">
        <w:rPr>
          <w:rFonts w:ascii="Verdana" w:hAnsi="Verdana"/>
          <w:color w:val="auto"/>
          <w:sz w:val="20"/>
          <w:szCs w:val="20"/>
        </w:rPr>
        <w:t>,</w:t>
      </w:r>
      <w:r w:rsidR="007871A9">
        <w:rPr>
          <w:rFonts w:ascii="Verdana" w:hAnsi="Verdana"/>
          <w:color w:val="auto"/>
          <w:sz w:val="20"/>
          <w:szCs w:val="20"/>
        </w:rPr>
        <w:t xml:space="preserve"> at der udpeges en MRK og det er muligt at dele opgaven mellem en hhv. projekterende og udførende part.</w:t>
      </w:r>
    </w:p>
    <w:p w14:paraId="547CE675" w14:textId="77777777" w:rsidR="00F10A10" w:rsidRPr="00BA0678" w:rsidRDefault="00F10A10" w:rsidP="00BC7E05">
      <w:pPr>
        <w:pStyle w:val="Default"/>
        <w:jc w:val="both"/>
        <w:rPr>
          <w:rFonts w:ascii="Verdana" w:hAnsi="Verdana"/>
          <w:color w:val="auto"/>
          <w:sz w:val="20"/>
          <w:szCs w:val="20"/>
        </w:rPr>
      </w:pPr>
    </w:p>
    <w:p w14:paraId="4D8B1D9F" w14:textId="77777777" w:rsidR="00D33B1B" w:rsidRPr="00BA0678" w:rsidRDefault="00D33B1B" w:rsidP="00BC7E05">
      <w:pPr>
        <w:pStyle w:val="Default"/>
        <w:jc w:val="both"/>
        <w:rPr>
          <w:rFonts w:ascii="Verdana" w:hAnsi="Verdana"/>
          <w:color w:val="auto"/>
          <w:sz w:val="20"/>
          <w:szCs w:val="20"/>
          <w:u w:val="single"/>
        </w:rPr>
      </w:pPr>
      <w:r w:rsidRPr="00BA0678">
        <w:rPr>
          <w:rFonts w:ascii="Verdana" w:hAnsi="Verdana"/>
          <w:color w:val="auto"/>
          <w:sz w:val="20"/>
          <w:szCs w:val="20"/>
          <w:u w:val="single"/>
        </w:rPr>
        <w:t>Autoriseret nedrivningsvirksomhed</w:t>
      </w:r>
    </w:p>
    <w:p w14:paraId="6CFC46A2" w14:textId="3B2A5EDD" w:rsidR="00D33B1B" w:rsidRDefault="00D87D26" w:rsidP="00BC7E05">
      <w:pPr>
        <w:jc w:val="both"/>
      </w:pPr>
      <w:r>
        <w:t>D</w:t>
      </w:r>
      <w:r w:rsidR="00D33B1B">
        <w:t>er</w:t>
      </w:r>
      <w:r w:rsidR="00834E81">
        <w:t xml:space="preserve"> stilles</w:t>
      </w:r>
      <w:r w:rsidR="00D33B1B">
        <w:t xml:space="preserve"> krav om at nedrivningsfirmaer, der varetager selektiv nedrivning skal autoriseres. Det betyder bl.a. at virksomheden skal </w:t>
      </w:r>
      <w:r w:rsidR="00D33B1B" w:rsidRPr="00BA0678">
        <w:t>udarbejde et kvalitetsledelsessystem og en kontrolordning, som understøtter udførelsen af selektiv nedrivning og sikre, at det udføres korrekt.</w:t>
      </w:r>
      <w:r w:rsidR="00D33B1B">
        <w:t xml:space="preserve"> Samtidig </w:t>
      </w:r>
      <w:r w:rsidR="00D33B1B">
        <w:lastRenderedPageBreak/>
        <w:t xml:space="preserve">skal en </w:t>
      </w:r>
      <w:r w:rsidR="00D33B1B" w:rsidRPr="00BA0678">
        <w:t>person i nedrivningsvirksomheden, med en grunduddannelse i nedrivning, uddannes til ressourceansvarlig inden for selektiv nedrivning. Den ressourceansvarlige får til ansvar at sikre affaldshåndtering og udførelse af selektiv nedrivning ved hjælp af en nedrivningsplan.</w:t>
      </w:r>
    </w:p>
    <w:p w14:paraId="252EA7F2" w14:textId="77777777" w:rsidR="00D33B1B" w:rsidRDefault="00D33B1B" w:rsidP="00BC7E05">
      <w:pPr>
        <w:jc w:val="both"/>
      </w:pPr>
    </w:p>
    <w:p w14:paraId="2A5E9563" w14:textId="24F71FA6" w:rsidR="00D33B1B" w:rsidRDefault="00D33B1B" w:rsidP="00BC7E05">
      <w:pPr>
        <w:pStyle w:val="Default"/>
        <w:jc w:val="both"/>
        <w:rPr>
          <w:rFonts w:ascii="Verdana" w:hAnsi="Verdana"/>
          <w:color w:val="auto"/>
          <w:sz w:val="20"/>
          <w:szCs w:val="20"/>
          <w:u w:val="single"/>
        </w:rPr>
      </w:pPr>
      <w:r w:rsidRPr="00244703">
        <w:rPr>
          <w:rFonts w:ascii="Verdana" w:hAnsi="Verdana"/>
          <w:i/>
          <w:iCs/>
          <w:color w:val="auto"/>
          <w:sz w:val="20"/>
          <w:szCs w:val="20"/>
          <w:u w:val="single"/>
        </w:rPr>
        <w:t>Fremgangsmåde ved selektiv nedrivning</w:t>
      </w:r>
      <w:r>
        <w:rPr>
          <w:rFonts w:ascii="Verdana" w:hAnsi="Verdana"/>
          <w:color w:val="auto"/>
          <w:sz w:val="20"/>
          <w:szCs w:val="20"/>
          <w:u w:val="single"/>
        </w:rPr>
        <w:t xml:space="preserve"> (bilag </w:t>
      </w:r>
      <w:r w:rsidR="00867127">
        <w:rPr>
          <w:rFonts w:ascii="Verdana" w:hAnsi="Verdana"/>
          <w:color w:val="auto"/>
          <w:sz w:val="20"/>
          <w:szCs w:val="20"/>
          <w:u w:val="single"/>
        </w:rPr>
        <w:t>1</w:t>
      </w:r>
      <w:r>
        <w:rPr>
          <w:rFonts w:ascii="Verdana" w:hAnsi="Verdana"/>
          <w:color w:val="auto"/>
          <w:sz w:val="20"/>
          <w:szCs w:val="20"/>
          <w:u w:val="single"/>
        </w:rPr>
        <w:t>)</w:t>
      </w:r>
    </w:p>
    <w:p w14:paraId="6E4D672F" w14:textId="53C8AD96" w:rsidR="00D33B1B" w:rsidRPr="00D33B1B" w:rsidRDefault="00D33B1B" w:rsidP="00BC7E05">
      <w:pPr>
        <w:pStyle w:val="Default"/>
        <w:jc w:val="both"/>
        <w:rPr>
          <w:rFonts w:ascii="Verdana" w:hAnsi="Verdana"/>
          <w:color w:val="auto"/>
          <w:sz w:val="20"/>
          <w:szCs w:val="20"/>
        </w:rPr>
      </w:pPr>
      <w:r>
        <w:rPr>
          <w:rFonts w:ascii="Verdana" w:hAnsi="Verdana"/>
          <w:color w:val="auto"/>
          <w:sz w:val="20"/>
          <w:szCs w:val="20"/>
        </w:rPr>
        <w:t xml:space="preserve">For at opnå maksimal udnyttelse og recirkulering og samtidig udsortere problematiske stoffer, skal byggeriets materialer adskilles og sorteres som angivet i bilag </w:t>
      </w:r>
      <w:r w:rsidR="00E32003">
        <w:rPr>
          <w:rFonts w:ascii="Verdana" w:hAnsi="Verdana"/>
          <w:color w:val="auto"/>
          <w:sz w:val="20"/>
          <w:szCs w:val="20"/>
        </w:rPr>
        <w:t>1</w:t>
      </w:r>
      <w:r w:rsidR="007871A9">
        <w:rPr>
          <w:rFonts w:ascii="Verdana" w:hAnsi="Verdana"/>
          <w:color w:val="auto"/>
          <w:sz w:val="20"/>
          <w:szCs w:val="20"/>
        </w:rPr>
        <w:t>.</w:t>
      </w:r>
    </w:p>
    <w:p w14:paraId="001DBE39" w14:textId="77777777" w:rsidR="00D33B1B" w:rsidRDefault="00D33B1B" w:rsidP="00BC7E05">
      <w:pPr>
        <w:pStyle w:val="Default"/>
        <w:jc w:val="both"/>
        <w:rPr>
          <w:rFonts w:ascii="Verdana" w:hAnsi="Verdana"/>
          <w:color w:val="auto"/>
          <w:sz w:val="20"/>
          <w:szCs w:val="20"/>
          <w:u w:val="single"/>
        </w:rPr>
      </w:pPr>
    </w:p>
    <w:p w14:paraId="5DA4754C" w14:textId="259E9C0B" w:rsidR="0015228F" w:rsidRPr="00BA0678" w:rsidRDefault="0015228F" w:rsidP="00BC7E05">
      <w:pPr>
        <w:pStyle w:val="Default"/>
        <w:jc w:val="both"/>
        <w:rPr>
          <w:rFonts w:ascii="Verdana" w:hAnsi="Verdana"/>
          <w:color w:val="auto"/>
          <w:sz w:val="20"/>
          <w:szCs w:val="20"/>
          <w:u w:val="single"/>
        </w:rPr>
      </w:pPr>
      <w:r w:rsidRPr="00244703">
        <w:rPr>
          <w:rFonts w:ascii="Verdana" w:hAnsi="Verdana"/>
          <w:i/>
          <w:iCs/>
          <w:color w:val="auto"/>
          <w:sz w:val="20"/>
          <w:szCs w:val="20"/>
          <w:u w:val="single"/>
        </w:rPr>
        <w:t>Standardiseret nedrivningsplan</w:t>
      </w:r>
      <w:r w:rsidR="00D33B1B">
        <w:rPr>
          <w:rFonts w:ascii="Verdana" w:hAnsi="Verdana"/>
          <w:color w:val="auto"/>
          <w:sz w:val="20"/>
          <w:szCs w:val="20"/>
          <w:u w:val="single"/>
        </w:rPr>
        <w:t xml:space="preserve"> (bilag </w:t>
      </w:r>
      <w:r w:rsidR="00867127">
        <w:rPr>
          <w:rFonts w:ascii="Verdana" w:hAnsi="Verdana"/>
          <w:color w:val="auto"/>
          <w:sz w:val="20"/>
          <w:szCs w:val="20"/>
          <w:u w:val="single"/>
        </w:rPr>
        <w:t>2</w:t>
      </w:r>
      <w:r w:rsidR="00D33B1B">
        <w:rPr>
          <w:rFonts w:ascii="Verdana" w:hAnsi="Verdana"/>
          <w:color w:val="auto"/>
          <w:sz w:val="20"/>
          <w:szCs w:val="20"/>
          <w:u w:val="single"/>
        </w:rPr>
        <w:t>)</w:t>
      </w:r>
    </w:p>
    <w:p w14:paraId="700DEF89" w14:textId="638621A5" w:rsidR="0015228F" w:rsidRDefault="00BA0678" w:rsidP="00BC7E05">
      <w:pPr>
        <w:pStyle w:val="Default"/>
        <w:jc w:val="both"/>
        <w:rPr>
          <w:rFonts w:ascii="Verdana" w:hAnsi="Verdana"/>
          <w:color w:val="auto"/>
          <w:sz w:val="20"/>
          <w:szCs w:val="20"/>
        </w:rPr>
      </w:pPr>
      <w:r w:rsidRPr="00BA0678">
        <w:rPr>
          <w:rFonts w:ascii="Verdana" w:hAnsi="Verdana"/>
          <w:color w:val="auto"/>
          <w:sz w:val="20"/>
          <w:szCs w:val="20"/>
        </w:rPr>
        <w:t>Standardiserede nedrivningsplaner vurderes at være et centralt værktøj til at øge selektiv nedrivning. Bygherre er ansvarlig for, at nedrivningsplanen, herunder også en miljø- og ressourceplan (affaldsplan), udfyldes og følges af en tilknyttet miljø- og ressourcekoordinator</w:t>
      </w:r>
      <w:r>
        <w:rPr>
          <w:rFonts w:ascii="Verdana" w:hAnsi="Verdana"/>
          <w:color w:val="auto"/>
          <w:sz w:val="20"/>
          <w:szCs w:val="20"/>
        </w:rPr>
        <w:t>.</w:t>
      </w:r>
    </w:p>
    <w:p w14:paraId="1AAC624A" w14:textId="5A9FBD28" w:rsidR="004C265B" w:rsidRPr="00BA0678" w:rsidRDefault="008F4044" w:rsidP="00BC7E05">
      <w:pPr>
        <w:pStyle w:val="Default"/>
        <w:jc w:val="both"/>
        <w:rPr>
          <w:rFonts w:ascii="Verdana" w:hAnsi="Verdana"/>
          <w:color w:val="auto"/>
          <w:sz w:val="20"/>
          <w:szCs w:val="20"/>
        </w:rPr>
      </w:pPr>
      <w:r>
        <w:rPr>
          <w:rFonts w:ascii="Verdana" w:hAnsi="Verdana"/>
          <w:color w:val="auto"/>
          <w:sz w:val="20"/>
          <w:szCs w:val="20"/>
        </w:rPr>
        <w:t>Den standardiserede nedrivningsplan skal</w:t>
      </w:r>
      <w:r w:rsidR="004C265B">
        <w:rPr>
          <w:rFonts w:ascii="Verdana" w:hAnsi="Verdana"/>
          <w:color w:val="auto"/>
          <w:sz w:val="20"/>
          <w:szCs w:val="20"/>
        </w:rPr>
        <w:t xml:space="preserve"> vedlægges </w:t>
      </w:r>
      <w:r w:rsidR="00184935">
        <w:rPr>
          <w:rFonts w:ascii="Verdana" w:hAnsi="Verdana"/>
          <w:color w:val="auto"/>
          <w:sz w:val="20"/>
          <w:szCs w:val="20"/>
        </w:rPr>
        <w:t>når der ansøges</w:t>
      </w:r>
      <w:r w:rsidR="004C265B">
        <w:rPr>
          <w:rFonts w:ascii="Verdana" w:hAnsi="Verdana"/>
          <w:color w:val="auto"/>
          <w:sz w:val="20"/>
          <w:szCs w:val="20"/>
        </w:rPr>
        <w:t xml:space="preserve"> om nedrivningstilladelse. </w:t>
      </w:r>
      <w:r>
        <w:rPr>
          <w:rFonts w:ascii="Verdana" w:hAnsi="Verdana"/>
          <w:color w:val="auto"/>
          <w:sz w:val="20"/>
          <w:szCs w:val="20"/>
        </w:rPr>
        <w:t>P</w:t>
      </w:r>
      <w:r w:rsidR="004C265B">
        <w:rPr>
          <w:rFonts w:ascii="Verdana" w:hAnsi="Verdana"/>
          <w:color w:val="auto"/>
          <w:sz w:val="20"/>
          <w:szCs w:val="20"/>
        </w:rPr>
        <w:t xml:space="preserve">lanen </w:t>
      </w:r>
      <w:r>
        <w:rPr>
          <w:rFonts w:ascii="Verdana" w:hAnsi="Verdana"/>
          <w:color w:val="auto"/>
          <w:sz w:val="20"/>
          <w:szCs w:val="20"/>
        </w:rPr>
        <w:t>ajourføres</w:t>
      </w:r>
      <w:r w:rsidR="004C265B">
        <w:rPr>
          <w:rFonts w:ascii="Verdana" w:hAnsi="Verdana"/>
          <w:color w:val="auto"/>
          <w:sz w:val="20"/>
          <w:szCs w:val="20"/>
        </w:rPr>
        <w:t xml:space="preserve"> løbende</w:t>
      </w:r>
      <w:r>
        <w:rPr>
          <w:rFonts w:ascii="Verdana" w:hAnsi="Verdana"/>
          <w:color w:val="auto"/>
          <w:sz w:val="20"/>
          <w:szCs w:val="20"/>
        </w:rPr>
        <w:t xml:space="preserve"> under udførelse</w:t>
      </w:r>
      <w:r w:rsidR="00ED257D">
        <w:rPr>
          <w:rFonts w:ascii="Verdana" w:hAnsi="Verdana"/>
          <w:color w:val="auto"/>
          <w:sz w:val="20"/>
          <w:szCs w:val="20"/>
        </w:rPr>
        <w:t>.</w:t>
      </w:r>
      <w:r w:rsidR="004C265B">
        <w:rPr>
          <w:rFonts w:ascii="Verdana" w:hAnsi="Verdana"/>
          <w:color w:val="auto"/>
          <w:sz w:val="20"/>
          <w:szCs w:val="20"/>
        </w:rPr>
        <w:t xml:space="preserve"> </w:t>
      </w:r>
      <w:r w:rsidR="00ED257D">
        <w:rPr>
          <w:rFonts w:ascii="Verdana" w:hAnsi="Verdana"/>
          <w:color w:val="auto"/>
          <w:sz w:val="20"/>
          <w:szCs w:val="20"/>
        </w:rPr>
        <w:t>S</w:t>
      </w:r>
      <w:r w:rsidR="004C265B">
        <w:rPr>
          <w:rFonts w:ascii="Verdana" w:hAnsi="Verdana"/>
          <w:color w:val="auto"/>
          <w:sz w:val="20"/>
          <w:szCs w:val="20"/>
        </w:rPr>
        <w:t>enest 3 uger efter nedrivning</w:t>
      </w:r>
      <w:r>
        <w:rPr>
          <w:rFonts w:ascii="Verdana" w:hAnsi="Verdana"/>
          <w:color w:val="auto"/>
          <w:sz w:val="20"/>
          <w:szCs w:val="20"/>
        </w:rPr>
        <w:t>en</w:t>
      </w:r>
      <w:r w:rsidR="004C265B">
        <w:rPr>
          <w:rFonts w:ascii="Verdana" w:hAnsi="Verdana"/>
          <w:color w:val="auto"/>
          <w:sz w:val="20"/>
          <w:szCs w:val="20"/>
        </w:rPr>
        <w:t xml:space="preserve"> er gennemført</w:t>
      </w:r>
      <w:r>
        <w:rPr>
          <w:rFonts w:ascii="Verdana" w:hAnsi="Verdana"/>
          <w:color w:val="auto"/>
          <w:sz w:val="20"/>
          <w:szCs w:val="20"/>
        </w:rPr>
        <w:t>, skal bygherre orientere myndighederne om</w:t>
      </w:r>
      <w:r w:rsidR="00ED257D">
        <w:rPr>
          <w:rFonts w:ascii="Verdana" w:hAnsi="Verdana"/>
          <w:color w:val="auto"/>
          <w:sz w:val="20"/>
          <w:szCs w:val="20"/>
        </w:rPr>
        <w:t>,</w:t>
      </w:r>
      <w:r>
        <w:rPr>
          <w:rFonts w:ascii="Verdana" w:hAnsi="Verdana"/>
          <w:color w:val="auto"/>
          <w:sz w:val="20"/>
          <w:szCs w:val="20"/>
        </w:rPr>
        <w:t xml:space="preserve"> at arbejdet er afsluttet.</w:t>
      </w:r>
    </w:p>
    <w:p w14:paraId="0A177FB2" w14:textId="77777777" w:rsidR="007A7E9C" w:rsidRDefault="007A7E9C" w:rsidP="00BC7E05">
      <w:pPr>
        <w:jc w:val="both"/>
      </w:pPr>
    </w:p>
    <w:p w14:paraId="297DAEF3" w14:textId="77777777" w:rsidR="007A7E9C" w:rsidRPr="007A7E9C" w:rsidRDefault="007A7E9C" w:rsidP="00BC7E05">
      <w:pPr>
        <w:pStyle w:val="Listeafsnit"/>
        <w:jc w:val="both"/>
      </w:pPr>
    </w:p>
    <w:p w14:paraId="79DC216A" w14:textId="688787D0" w:rsidR="00357422" w:rsidRDefault="00382AEE" w:rsidP="00BC7E05">
      <w:pPr>
        <w:jc w:val="both"/>
        <w:rPr>
          <w:sz w:val="16"/>
          <w:szCs w:val="16"/>
        </w:rPr>
      </w:pPr>
      <w:r>
        <w:rPr>
          <w:rFonts w:eastAsiaTheme="majorEastAsia" w:cstheme="majorBidi"/>
          <w:noProof/>
          <w:sz w:val="24"/>
          <w:szCs w:val="26"/>
        </w:rPr>
        <w:drawing>
          <wp:inline distT="0" distB="0" distL="0" distR="0" wp14:anchorId="699E6A7D" wp14:editId="740F3035">
            <wp:extent cx="6120130" cy="3985895"/>
            <wp:effectExtent l="0" t="0" r="0" b="0"/>
            <wp:docPr id="79342604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426049" name=""/>
                    <pic:cNvPicPr/>
                  </pic:nvPicPr>
                  <pic:blipFill>
                    <a:blip r:embed="rId12"/>
                    <a:stretch>
                      <a:fillRect/>
                    </a:stretch>
                  </pic:blipFill>
                  <pic:spPr>
                    <a:xfrm>
                      <a:off x="0" y="0"/>
                      <a:ext cx="6120130" cy="3985895"/>
                    </a:xfrm>
                    <a:prstGeom prst="rect">
                      <a:avLst/>
                    </a:prstGeom>
                  </pic:spPr>
                </pic:pic>
              </a:graphicData>
            </a:graphic>
          </wp:inline>
        </w:drawing>
      </w:r>
      <w:r w:rsidR="0054278C">
        <w:rPr>
          <w:sz w:val="16"/>
          <w:szCs w:val="16"/>
        </w:rPr>
        <w:t>V</w:t>
      </w:r>
      <w:r>
        <w:rPr>
          <w:sz w:val="16"/>
          <w:szCs w:val="16"/>
        </w:rPr>
        <w:t>edlagt som bilag 3</w:t>
      </w:r>
    </w:p>
    <w:p w14:paraId="6DC72CE8" w14:textId="3C0C8604" w:rsidR="000F7044" w:rsidRDefault="000F7044" w:rsidP="00BC7E05">
      <w:pPr>
        <w:spacing w:after="160"/>
        <w:jc w:val="both"/>
        <w:rPr>
          <w:sz w:val="16"/>
          <w:szCs w:val="16"/>
        </w:rPr>
      </w:pPr>
      <w:r>
        <w:rPr>
          <w:sz w:val="16"/>
          <w:szCs w:val="16"/>
        </w:rPr>
        <w:br w:type="page"/>
      </w:r>
    </w:p>
    <w:p w14:paraId="4DB3A86D" w14:textId="76DF5E50" w:rsidR="00B12A12" w:rsidRPr="00CF0E78" w:rsidRDefault="00B51693" w:rsidP="00183944">
      <w:pPr>
        <w:pStyle w:val="Overskrift1"/>
      </w:pPr>
      <w:bookmarkStart w:id="2" w:name="_Toc198552613"/>
      <w:r w:rsidRPr="00CF0E78">
        <w:lastRenderedPageBreak/>
        <w:t>Projektbeskrivelse</w:t>
      </w:r>
      <w:bookmarkEnd w:id="2"/>
    </w:p>
    <w:p w14:paraId="60BF4E2A" w14:textId="77777777" w:rsidR="00F7366F" w:rsidRDefault="00F7366F" w:rsidP="00BC7E05">
      <w:pPr>
        <w:jc w:val="both"/>
      </w:pPr>
    </w:p>
    <w:p w14:paraId="7C1C0C20" w14:textId="32721BDE" w:rsidR="00A10126" w:rsidRDefault="00A10126" w:rsidP="00BC7E05">
      <w:pPr>
        <w:jc w:val="both"/>
      </w:pPr>
      <w:r>
        <w:t xml:space="preserve">Beskriv kort projektets formål og omfang. </w:t>
      </w:r>
      <w:r w:rsidR="000D413A">
        <w:t>Der</w:t>
      </w:r>
      <w:r>
        <w:t xml:space="preserve"> vedlægges en </w:t>
      </w:r>
      <w:r w:rsidR="000D413A" w:rsidRPr="00244703">
        <w:rPr>
          <w:i/>
          <w:iCs/>
        </w:rPr>
        <w:t>O</w:t>
      </w:r>
      <w:r w:rsidRPr="00244703">
        <w:rPr>
          <w:i/>
          <w:iCs/>
        </w:rPr>
        <w:t>versigtstegning</w:t>
      </w:r>
      <w:r w:rsidR="000D413A">
        <w:t xml:space="preserve"> (bilag </w:t>
      </w:r>
      <w:r w:rsidR="00382AEE">
        <w:t>4</w:t>
      </w:r>
      <w:r w:rsidR="000D413A">
        <w:t>)</w:t>
      </w:r>
      <w:r>
        <w:t xml:space="preserve"> med tydelig angivelse af entreprisegrænse. Beskrivelsen suppleres med udfyldelse af projektdata:</w:t>
      </w:r>
    </w:p>
    <w:p w14:paraId="2FFCFDE2" w14:textId="77777777" w:rsidR="00A10126" w:rsidRDefault="00A10126" w:rsidP="00BC7E05">
      <w:pPr>
        <w:jc w:val="both"/>
      </w:pPr>
    </w:p>
    <w:tbl>
      <w:tblPr>
        <w:tblStyle w:val="Tabel-Gitter"/>
        <w:tblW w:w="0" w:type="auto"/>
        <w:tblLook w:val="04A0" w:firstRow="1" w:lastRow="0" w:firstColumn="1" w:lastColumn="0" w:noHBand="0" w:noVBand="1"/>
      </w:tblPr>
      <w:tblGrid>
        <w:gridCol w:w="3256"/>
        <w:gridCol w:w="6372"/>
      </w:tblGrid>
      <w:tr w:rsidR="00F7366F" w14:paraId="0EBF0B00" w14:textId="77777777" w:rsidTr="00F7366F">
        <w:tc>
          <w:tcPr>
            <w:tcW w:w="3256" w:type="dxa"/>
          </w:tcPr>
          <w:p w14:paraId="1F95C31E" w14:textId="12BC2FF2" w:rsidR="00F7366F" w:rsidRDefault="00F7366F" w:rsidP="00BC7E05">
            <w:pPr>
              <w:jc w:val="both"/>
            </w:pPr>
            <w:r>
              <w:t>Projektnavn</w:t>
            </w:r>
          </w:p>
          <w:p w14:paraId="16A29EB3" w14:textId="6FE8D1A0" w:rsidR="00F7366F" w:rsidRDefault="00F7366F" w:rsidP="00BC7E05">
            <w:pPr>
              <w:jc w:val="both"/>
            </w:pPr>
          </w:p>
        </w:tc>
        <w:tc>
          <w:tcPr>
            <w:tcW w:w="6372" w:type="dxa"/>
          </w:tcPr>
          <w:p w14:paraId="77AEFA23" w14:textId="77777777" w:rsidR="00F7366F" w:rsidRDefault="00F7366F" w:rsidP="00BC7E05">
            <w:pPr>
              <w:jc w:val="both"/>
            </w:pPr>
          </w:p>
        </w:tc>
      </w:tr>
      <w:tr w:rsidR="00F7366F" w14:paraId="5644682C" w14:textId="77777777" w:rsidTr="00BC7E05">
        <w:tc>
          <w:tcPr>
            <w:tcW w:w="3256" w:type="dxa"/>
          </w:tcPr>
          <w:p w14:paraId="5A95D3B9" w14:textId="77777777" w:rsidR="00F7366F" w:rsidRDefault="00F7366F" w:rsidP="00BC7E05">
            <w:pPr>
              <w:jc w:val="both"/>
            </w:pPr>
            <w:r>
              <w:t>Beliggenhed</w:t>
            </w:r>
          </w:p>
          <w:p w14:paraId="5215C342" w14:textId="24D05006" w:rsidR="00F7366F" w:rsidRDefault="00F7366F" w:rsidP="00BC7E05">
            <w:pPr>
              <w:jc w:val="both"/>
            </w:pPr>
          </w:p>
        </w:tc>
        <w:tc>
          <w:tcPr>
            <w:tcW w:w="6372" w:type="dxa"/>
          </w:tcPr>
          <w:p w14:paraId="27F0A706" w14:textId="77777777" w:rsidR="00F7366F" w:rsidRDefault="00F7366F" w:rsidP="00BC7E05">
            <w:pPr>
              <w:jc w:val="both"/>
            </w:pPr>
          </w:p>
        </w:tc>
      </w:tr>
      <w:tr w:rsidR="00F7366F" w14:paraId="6CEA52FE" w14:textId="77777777" w:rsidTr="00BC7E05">
        <w:tc>
          <w:tcPr>
            <w:tcW w:w="3256" w:type="dxa"/>
          </w:tcPr>
          <w:p w14:paraId="513C2BF2" w14:textId="77777777" w:rsidR="00A10126" w:rsidRDefault="00F7366F" w:rsidP="00BC7E05">
            <w:pPr>
              <w:jc w:val="both"/>
            </w:pPr>
            <w:r>
              <w:t>Bygnings nr. jf. Dalux FM</w:t>
            </w:r>
          </w:p>
          <w:p w14:paraId="195D3568" w14:textId="70989E05" w:rsidR="007D0804" w:rsidRDefault="007D0804" w:rsidP="00BC7E05">
            <w:pPr>
              <w:jc w:val="both"/>
            </w:pPr>
          </w:p>
        </w:tc>
        <w:tc>
          <w:tcPr>
            <w:tcW w:w="6372" w:type="dxa"/>
          </w:tcPr>
          <w:p w14:paraId="27D68CF5" w14:textId="77777777" w:rsidR="00F7366F" w:rsidRDefault="00F7366F" w:rsidP="00BC7E05">
            <w:pPr>
              <w:jc w:val="both"/>
            </w:pPr>
          </w:p>
        </w:tc>
      </w:tr>
    </w:tbl>
    <w:p w14:paraId="2E3620BE" w14:textId="77777777" w:rsidR="00F7366F" w:rsidRDefault="00F7366F" w:rsidP="00BC7E05">
      <w:pPr>
        <w:jc w:val="both"/>
      </w:pPr>
    </w:p>
    <w:p w14:paraId="2116E25F" w14:textId="77777777" w:rsidR="00F4130E" w:rsidRPr="00F7366F" w:rsidRDefault="00F4130E" w:rsidP="00BC7E05">
      <w:pPr>
        <w:jc w:val="both"/>
      </w:pPr>
    </w:p>
    <w:p w14:paraId="6A5F86D1" w14:textId="606D1CD1" w:rsidR="007A7E9C" w:rsidRDefault="0046253C" w:rsidP="00BC7E05">
      <w:pPr>
        <w:pStyle w:val="Overskrift2"/>
        <w:jc w:val="both"/>
      </w:pPr>
      <w:bookmarkStart w:id="3" w:name="_Toc198552614"/>
      <w:r>
        <w:t xml:space="preserve">2.1. </w:t>
      </w:r>
      <w:r w:rsidR="00B7625C">
        <w:t>O</w:t>
      </w:r>
      <w:r w:rsidR="007A7E9C">
        <w:t>rganisationsplan</w:t>
      </w:r>
      <w:bookmarkEnd w:id="3"/>
    </w:p>
    <w:p w14:paraId="31CFFF72" w14:textId="77777777" w:rsidR="00F7366F" w:rsidRDefault="00F7366F" w:rsidP="00BC7E05">
      <w:pPr>
        <w:jc w:val="both"/>
      </w:pPr>
    </w:p>
    <w:tbl>
      <w:tblPr>
        <w:tblStyle w:val="Tabel-Gitter"/>
        <w:tblW w:w="9633" w:type="dxa"/>
        <w:tblLayout w:type="fixed"/>
        <w:tblLook w:val="04A0" w:firstRow="1" w:lastRow="0" w:firstColumn="1" w:lastColumn="0" w:noHBand="0" w:noVBand="1"/>
      </w:tblPr>
      <w:tblGrid>
        <w:gridCol w:w="2455"/>
        <w:gridCol w:w="3209"/>
        <w:gridCol w:w="3969"/>
      </w:tblGrid>
      <w:tr w:rsidR="00D0288C" w14:paraId="6CDE194D" w14:textId="77777777" w:rsidTr="005261B8">
        <w:tc>
          <w:tcPr>
            <w:tcW w:w="2455" w:type="dxa"/>
          </w:tcPr>
          <w:p w14:paraId="0F519EB4" w14:textId="35B58813" w:rsidR="00D0288C" w:rsidRDefault="00D0288C" w:rsidP="00BC7E05">
            <w:pPr>
              <w:jc w:val="both"/>
            </w:pPr>
            <w:r>
              <w:t>Titel</w:t>
            </w:r>
          </w:p>
        </w:tc>
        <w:tc>
          <w:tcPr>
            <w:tcW w:w="3209" w:type="dxa"/>
          </w:tcPr>
          <w:p w14:paraId="49420EAC" w14:textId="015553BA" w:rsidR="00D0288C" w:rsidRDefault="00D0288C" w:rsidP="00BC7E05">
            <w:pPr>
              <w:jc w:val="both"/>
            </w:pPr>
            <w:r>
              <w:t>Navn</w:t>
            </w:r>
          </w:p>
        </w:tc>
        <w:tc>
          <w:tcPr>
            <w:tcW w:w="3969" w:type="dxa"/>
          </w:tcPr>
          <w:p w14:paraId="0639A791" w14:textId="05A2BE1D" w:rsidR="00D0288C" w:rsidRDefault="00D0288C" w:rsidP="00BC7E05">
            <w:pPr>
              <w:jc w:val="both"/>
            </w:pPr>
            <w:r>
              <w:t>kontaktoplysninger</w:t>
            </w:r>
          </w:p>
        </w:tc>
      </w:tr>
      <w:tr w:rsidR="00D0288C" w14:paraId="4B673746" w14:textId="77777777" w:rsidTr="005261B8">
        <w:tc>
          <w:tcPr>
            <w:tcW w:w="2455" w:type="dxa"/>
          </w:tcPr>
          <w:p w14:paraId="575E283D" w14:textId="77777777" w:rsidR="00D0288C" w:rsidRDefault="00D0288C" w:rsidP="00BC7E05">
            <w:pPr>
              <w:jc w:val="both"/>
            </w:pPr>
            <w:r>
              <w:t>Bygherre</w:t>
            </w:r>
          </w:p>
          <w:p w14:paraId="1F7D7E95" w14:textId="2B5E7239" w:rsidR="00D0288C" w:rsidRDefault="00D0288C" w:rsidP="00BC7E05">
            <w:pPr>
              <w:jc w:val="both"/>
            </w:pPr>
          </w:p>
        </w:tc>
        <w:tc>
          <w:tcPr>
            <w:tcW w:w="3209" w:type="dxa"/>
          </w:tcPr>
          <w:p w14:paraId="2C6DEB47" w14:textId="77777777" w:rsidR="00D0288C" w:rsidRDefault="00D0288C" w:rsidP="00BC7E05">
            <w:pPr>
              <w:jc w:val="both"/>
            </w:pPr>
          </w:p>
        </w:tc>
        <w:tc>
          <w:tcPr>
            <w:tcW w:w="3969" w:type="dxa"/>
          </w:tcPr>
          <w:p w14:paraId="0FE7D1C5" w14:textId="77777777" w:rsidR="00D0288C" w:rsidRDefault="00D0288C" w:rsidP="00BC7E05">
            <w:pPr>
              <w:jc w:val="both"/>
            </w:pPr>
          </w:p>
        </w:tc>
      </w:tr>
      <w:tr w:rsidR="00D0288C" w14:paraId="733A498B" w14:textId="77777777" w:rsidTr="005261B8">
        <w:tc>
          <w:tcPr>
            <w:tcW w:w="2455" w:type="dxa"/>
          </w:tcPr>
          <w:p w14:paraId="0174E8C6" w14:textId="77777777" w:rsidR="00D0288C" w:rsidRDefault="00D0288C" w:rsidP="00BC7E05">
            <w:pPr>
              <w:jc w:val="both"/>
            </w:pPr>
            <w:r>
              <w:t>Projektleder</w:t>
            </w:r>
          </w:p>
          <w:p w14:paraId="51C067EC" w14:textId="5D1A3BD0" w:rsidR="00D0288C" w:rsidRDefault="00D0288C" w:rsidP="00BC7E05">
            <w:pPr>
              <w:jc w:val="both"/>
            </w:pPr>
          </w:p>
        </w:tc>
        <w:tc>
          <w:tcPr>
            <w:tcW w:w="3209" w:type="dxa"/>
          </w:tcPr>
          <w:p w14:paraId="5D5FAD5D" w14:textId="77777777" w:rsidR="00D0288C" w:rsidRDefault="00D0288C" w:rsidP="00BC7E05">
            <w:pPr>
              <w:jc w:val="both"/>
            </w:pPr>
          </w:p>
        </w:tc>
        <w:tc>
          <w:tcPr>
            <w:tcW w:w="3969" w:type="dxa"/>
          </w:tcPr>
          <w:p w14:paraId="3A8AA074" w14:textId="77777777" w:rsidR="00D0288C" w:rsidRDefault="00D0288C" w:rsidP="00BC7E05">
            <w:pPr>
              <w:jc w:val="both"/>
            </w:pPr>
          </w:p>
        </w:tc>
      </w:tr>
      <w:tr w:rsidR="00D0288C" w14:paraId="544C6EFE" w14:textId="77777777" w:rsidTr="005261B8">
        <w:tc>
          <w:tcPr>
            <w:tcW w:w="2455" w:type="dxa"/>
          </w:tcPr>
          <w:p w14:paraId="08CB1023" w14:textId="77777777" w:rsidR="00D0288C" w:rsidRDefault="00D0288C" w:rsidP="00BC7E05">
            <w:pPr>
              <w:jc w:val="both"/>
            </w:pPr>
            <w:r>
              <w:t>Bygherrerådgiver</w:t>
            </w:r>
          </w:p>
          <w:p w14:paraId="1E245DAC" w14:textId="18FFE1BF" w:rsidR="00D0288C" w:rsidRDefault="00D0288C" w:rsidP="00BC7E05">
            <w:pPr>
              <w:jc w:val="both"/>
            </w:pPr>
          </w:p>
        </w:tc>
        <w:tc>
          <w:tcPr>
            <w:tcW w:w="3209" w:type="dxa"/>
          </w:tcPr>
          <w:p w14:paraId="742A52D8" w14:textId="77777777" w:rsidR="00D0288C" w:rsidRDefault="00D0288C" w:rsidP="00BC7E05">
            <w:pPr>
              <w:jc w:val="both"/>
            </w:pPr>
          </w:p>
        </w:tc>
        <w:tc>
          <w:tcPr>
            <w:tcW w:w="3969" w:type="dxa"/>
          </w:tcPr>
          <w:p w14:paraId="16B90DA0" w14:textId="77777777" w:rsidR="00D0288C" w:rsidRDefault="00D0288C" w:rsidP="00BC7E05">
            <w:pPr>
              <w:jc w:val="both"/>
            </w:pPr>
          </w:p>
        </w:tc>
      </w:tr>
      <w:tr w:rsidR="00D0288C" w14:paraId="0C72BCE7" w14:textId="77777777" w:rsidTr="005261B8">
        <w:tc>
          <w:tcPr>
            <w:tcW w:w="2455" w:type="dxa"/>
          </w:tcPr>
          <w:p w14:paraId="63864F2C" w14:textId="2C5C6292" w:rsidR="00D0288C" w:rsidRDefault="00D0288C" w:rsidP="00BC7E05">
            <w:pPr>
              <w:jc w:val="both"/>
            </w:pPr>
            <w:r>
              <w:t>Byggeledelse/fag</w:t>
            </w:r>
            <w:r w:rsidR="00821030">
              <w:t>-</w:t>
            </w:r>
            <w:r>
              <w:t>tilsyn</w:t>
            </w:r>
          </w:p>
          <w:p w14:paraId="69752613" w14:textId="1E3D7D07" w:rsidR="00D0288C" w:rsidRDefault="00D0288C" w:rsidP="00BC7E05">
            <w:pPr>
              <w:jc w:val="both"/>
            </w:pPr>
          </w:p>
        </w:tc>
        <w:tc>
          <w:tcPr>
            <w:tcW w:w="3209" w:type="dxa"/>
          </w:tcPr>
          <w:p w14:paraId="4E429FB0" w14:textId="77777777" w:rsidR="00D0288C" w:rsidRDefault="00D0288C" w:rsidP="00BC7E05">
            <w:pPr>
              <w:jc w:val="both"/>
            </w:pPr>
          </w:p>
        </w:tc>
        <w:tc>
          <w:tcPr>
            <w:tcW w:w="3969" w:type="dxa"/>
          </w:tcPr>
          <w:p w14:paraId="6CF4F548" w14:textId="77777777" w:rsidR="00D0288C" w:rsidRDefault="00D0288C" w:rsidP="00BC7E05">
            <w:pPr>
              <w:jc w:val="both"/>
            </w:pPr>
          </w:p>
        </w:tc>
      </w:tr>
      <w:tr w:rsidR="005261B8" w14:paraId="269A41C1" w14:textId="77777777">
        <w:trPr>
          <w:trHeight w:val="397"/>
        </w:trPr>
        <w:tc>
          <w:tcPr>
            <w:tcW w:w="2455" w:type="dxa"/>
          </w:tcPr>
          <w:p w14:paraId="39BCB71E" w14:textId="398A8E6D" w:rsidR="005261B8" w:rsidRDefault="005261B8" w:rsidP="00BC7E05">
            <w:pPr>
              <w:jc w:val="both"/>
            </w:pPr>
            <w:r>
              <w:t>Miljø- og Ressource-koordinator</w:t>
            </w:r>
            <w:r w:rsidR="00B7625C">
              <w:t xml:space="preserve"> (MRK)</w:t>
            </w:r>
          </w:p>
          <w:p w14:paraId="134AE523" w14:textId="2A980312" w:rsidR="005261B8" w:rsidRDefault="005261B8" w:rsidP="00BC7E05">
            <w:pPr>
              <w:jc w:val="both"/>
            </w:pPr>
          </w:p>
        </w:tc>
        <w:tc>
          <w:tcPr>
            <w:tcW w:w="3209" w:type="dxa"/>
          </w:tcPr>
          <w:p w14:paraId="3B45218B" w14:textId="77777777" w:rsidR="005261B8" w:rsidRDefault="005261B8" w:rsidP="00BC7E05">
            <w:pPr>
              <w:jc w:val="both"/>
            </w:pPr>
          </w:p>
        </w:tc>
        <w:tc>
          <w:tcPr>
            <w:tcW w:w="3969" w:type="dxa"/>
          </w:tcPr>
          <w:p w14:paraId="6624A351" w14:textId="77777777" w:rsidR="005261B8" w:rsidRDefault="005261B8" w:rsidP="00BC7E05">
            <w:pPr>
              <w:jc w:val="both"/>
            </w:pPr>
          </w:p>
        </w:tc>
      </w:tr>
      <w:tr w:rsidR="00D0288C" w14:paraId="3DBD7934" w14:textId="77777777" w:rsidTr="005261B8">
        <w:tc>
          <w:tcPr>
            <w:tcW w:w="2455" w:type="dxa"/>
          </w:tcPr>
          <w:p w14:paraId="6CCD32E6" w14:textId="6C67DE00" w:rsidR="00D0288C" w:rsidRDefault="00D0288C" w:rsidP="00BC7E05">
            <w:pPr>
              <w:jc w:val="both"/>
            </w:pPr>
            <w:r>
              <w:t>Bæredygtigheds</w:t>
            </w:r>
            <w:r w:rsidR="001F1756">
              <w:t>-</w:t>
            </w:r>
            <w:r>
              <w:t>rådgiver</w:t>
            </w:r>
          </w:p>
          <w:p w14:paraId="02A1E5C1" w14:textId="77777777" w:rsidR="00D0288C" w:rsidRDefault="00D0288C" w:rsidP="00BC7E05">
            <w:pPr>
              <w:jc w:val="both"/>
            </w:pPr>
          </w:p>
        </w:tc>
        <w:tc>
          <w:tcPr>
            <w:tcW w:w="3209" w:type="dxa"/>
          </w:tcPr>
          <w:p w14:paraId="17F7D4DD" w14:textId="77777777" w:rsidR="00D0288C" w:rsidRDefault="00D0288C" w:rsidP="00BC7E05">
            <w:pPr>
              <w:jc w:val="both"/>
            </w:pPr>
          </w:p>
        </w:tc>
        <w:tc>
          <w:tcPr>
            <w:tcW w:w="3969" w:type="dxa"/>
          </w:tcPr>
          <w:p w14:paraId="19ADDB29" w14:textId="77777777" w:rsidR="00D0288C" w:rsidRDefault="00D0288C" w:rsidP="00BC7E05">
            <w:pPr>
              <w:jc w:val="both"/>
            </w:pPr>
          </w:p>
        </w:tc>
      </w:tr>
    </w:tbl>
    <w:p w14:paraId="4FB2B670" w14:textId="77777777" w:rsidR="00F7366F" w:rsidRPr="00F7366F" w:rsidRDefault="00F7366F" w:rsidP="00BC7E05">
      <w:pPr>
        <w:jc w:val="both"/>
      </w:pPr>
    </w:p>
    <w:p w14:paraId="063A8275" w14:textId="77777777" w:rsidR="00B12A12" w:rsidRDefault="00B12A12" w:rsidP="00BC7E05">
      <w:pPr>
        <w:pStyle w:val="Listeafsnit"/>
        <w:jc w:val="both"/>
      </w:pPr>
    </w:p>
    <w:p w14:paraId="74685AE7" w14:textId="3F025278" w:rsidR="00635D9D" w:rsidRDefault="00635D9D" w:rsidP="00183944">
      <w:pPr>
        <w:pStyle w:val="Overskrift1"/>
      </w:pPr>
      <w:bookmarkStart w:id="4" w:name="_Toc198552615"/>
      <w:r w:rsidRPr="00864188">
        <w:t>Krav til gennemførelse</w:t>
      </w:r>
      <w:bookmarkEnd w:id="4"/>
    </w:p>
    <w:p w14:paraId="6274336C" w14:textId="77777777" w:rsidR="00635D9D" w:rsidRPr="00B7625C" w:rsidRDefault="00635D9D" w:rsidP="00BC7E05">
      <w:pPr>
        <w:jc w:val="both"/>
      </w:pPr>
    </w:p>
    <w:p w14:paraId="1EE59878" w14:textId="130B9518" w:rsidR="00635D9D" w:rsidRDefault="00F4130E" w:rsidP="00BC7E05">
      <w:pPr>
        <w:pStyle w:val="Overskrift2"/>
        <w:jc w:val="both"/>
      </w:pPr>
      <w:bookmarkStart w:id="5" w:name="_Toc198552616"/>
      <w:r>
        <w:t xml:space="preserve">3.1. </w:t>
      </w:r>
      <w:r w:rsidR="00635D9D">
        <w:t>Forundersøgelse</w:t>
      </w:r>
      <w:bookmarkEnd w:id="5"/>
    </w:p>
    <w:p w14:paraId="6916EC16" w14:textId="77777777" w:rsidR="00635D9D" w:rsidRPr="00B7625C" w:rsidRDefault="00635D9D" w:rsidP="00BC7E05">
      <w:pPr>
        <w:jc w:val="both"/>
      </w:pPr>
    </w:p>
    <w:p w14:paraId="2F6C068C" w14:textId="24BA9645" w:rsidR="00635D9D" w:rsidRDefault="00635D9D" w:rsidP="00BC7E05">
      <w:pPr>
        <w:jc w:val="both"/>
      </w:pPr>
      <w:r>
        <w:t xml:space="preserve">Som en del af de indledende overvejelser skal potentialet for genbrug vurderes. Der er tale om en kort gennemgang af arealer uden </w:t>
      </w:r>
      <w:r w:rsidR="00D07EB6">
        <w:t>destruktive</w:t>
      </w:r>
      <w:r>
        <w:t xml:space="preserve"> indgreb. Gennemgang varetages af et team bestående af projektleder, MRK og Bæredygtighedsrådgiver. Det er samtidig i denne fase ambitionsniveauet for projektet fastlægges</w:t>
      </w:r>
      <w:r w:rsidR="00832EEC">
        <w:t>,</w:t>
      </w:r>
      <w:r>
        <w:t xml:space="preserve"> og aftagere af materialerne undersøges.</w:t>
      </w:r>
    </w:p>
    <w:p w14:paraId="5E43FAAE" w14:textId="77777777" w:rsidR="00635D9D" w:rsidRDefault="00635D9D" w:rsidP="00BC7E05">
      <w:pPr>
        <w:jc w:val="both"/>
      </w:pPr>
    </w:p>
    <w:p w14:paraId="70F4CC89" w14:textId="77777777" w:rsidR="00635D9D" w:rsidRPr="000E3BD8" w:rsidRDefault="00635D9D" w:rsidP="00BC7E05">
      <w:pPr>
        <w:jc w:val="both"/>
      </w:pPr>
    </w:p>
    <w:p w14:paraId="7A57901D" w14:textId="67D19BFF" w:rsidR="00635D9D" w:rsidRDefault="00F4130E" w:rsidP="00BC7E05">
      <w:pPr>
        <w:pStyle w:val="Overskrift2"/>
        <w:jc w:val="both"/>
      </w:pPr>
      <w:bookmarkStart w:id="6" w:name="_Toc198552617"/>
      <w:r>
        <w:t xml:space="preserve">3.2. </w:t>
      </w:r>
      <w:r w:rsidR="00635D9D">
        <w:t>Screening</w:t>
      </w:r>
      <w:bookmarkEnd w:id="6"/>
    </w:p>
    <w:p w14:paraId="0C409B8E" w14:textId="77777777" w:rsidR="00635D9D" w:rsidRPr="00B7625C" w:rsidRDefault="00635D9D" w:rsidP="00BC7E05">
      <w:pPr>
        <w:jc w:val="both"/>
      </w:pPr>
    </w:p>
    <w:p w14:paraId="259C432C" w14:textId="4A78C78B" w:rsidR="00635D9D" w:rsidRDefault="00635D9D" w:rsidP="00BC7E05">
      <w:pPr>
        <w:jc w:val="both"/>
      </w:pPr>
      <w:r>
        <w:t>Når der udføres nedrivningsarbejder med henblik på genbrug, er det ikke altid</w:t>
      </w:r>
      <w:r w:rsidR="008111C3">
        <w:t>,</w:t>
      </w:r>
      <w:r>
        <w:t xml:space="preserve"> at entreprenøren har erfaring med tilsvarende opgaver. Ligeledes kan tegningsmaterialet eller producenthenvisningerne være mangelfulde</w:t>
      </w:r>
      <w:r w:rsidR="008111C3">
        <w:t>,</w:t>
      </w:r>
      <w:r>
        <w:t xml:space="preserve"> ligesom det ikke må forventes, at der foreligger et komplet overblik over</w:t>
      </w:r>
      <w:r w:rsidR="008111C3">
        <w:t>,</w:t>
      </w:r>
      <w:r>
        <w:t xml:space="preserve"> hvilke miljø- og sundhedsskadelige stoffer materialerne kan indeholde.</w:t>
      </w:r>
    </w:p>
    <w:p w14:paraId="76C9A561" w14:textId="77777777" w:rsidR="00635D9D" w:rsidRDefault="00635D9D" w:rsidP="00BC7E05">
      <w:pPr>
        <w:jc w:val="both"/>
      </w:pPr>
    </w:p>
    <w:p w14:paraId="30DA757F" w14:textId="77777777" w:rsidR="00635D9D" w:rsidRDefault="00635D9D" w:rsidP="00BC7E05">
      <w:pPr>
        <w:jc w:val="both"/>
      </w:pPr>
      <w:r>
        <w:t xml:space="preserve">Derfor skal der under udarbejdelse af Ideoplæg og Byggeprogram udnævnes en Miljø og Ressourcekoordinator (MRK). </w:t>
      </w:r>
    </w:p>
    <w:p w14:paraId="47DA5B55" w14:textId="77777777" w:rsidR="00635D9D" w:rsidRDefault="00635D9D" w:rsidP="00BC7E05">
      <w:pPr>
        <w:jc w:val="both"/>
      </w:pPr>
    </w:p>
    <w:p w14:paraId="1EEEAFB0" w14:textId="77777777" w:rsidR="00635D9D" w:rsidRDefault="00635D9D" w:rsidP="00BC7E05">
      <w:pPr>
        <w:jc w:val="both"/>
      </w:pPr>
      <w:r>
        <w:t>Projektansvarlig MRK</w:t>
      </w:r>
      <w:r>
        <w:tab/>
        <w:t>___________________________________________</w:t>
      </w:r>
    </w:p>
    <w:p w14:paraId="45D6A451" w14:textId="77777777" w:rsidR="00635D9D" w:rsidRDefault="00635D9D" w:rsidP="00BC7E05">
      <w:pPr>
        <w:jc w:val="both"/>
      </w:pPr>
    </w:p>
    <w:p w14:paraId="566A85CD" w14:textId="4F6DC204" w:rsidR="00635D9D" w:rsidRDefault="00635D9D" w:rsidP="00BC7E05">
      <w:pPr>
        <w:jc w:val="both"/>
      </w:pPr>
      <w:r>
        <w:t xml:space="preserve">Ved screening forstås en systematisk gennemgang og registrering af materialer hvor placering, forventede mængder og tilstand noteres i </w:t>
      </w:r>
      <w:r w:rsidRPr="00CD1D0C">
        <w:rPr>
          <w:i/>
          <w:iCs/>
        </w:rPr>
        <w:t>Skema for ressource og affald</w:t>
      </w:r>
      <w:r w:rsidR="004B436A">
        <w:rPr>
          <w:i/>
          <w:iCs/>
        </w:rPr>
        <w:t>sfraktioner</w:t>
      </w:r>
      <w:r w:rsidRPr="00CD1D0C">
        <w:t xml:space="preserve"> (bilag </w:t>
      </w:r>
      <w:r w:rsidR="004B436A">
        <w:t>5</w:t>
      </w:r>
      <w:r w:rsidRPr="00CD1D0C">
        <w:t>)</w:t>
      </w:r>
    </w:p>
    <w:p w14:paraId="070624F6" w14:textId="77777777" w:rsidR="008D78E0" w:rsidRDefault="008D78E0" w:rsidP="00BC7E05">
      <w:pPr>
        <w:jc w:val="both"/>
      </w:pPr>
    </w:p>
    <w:p w14:paraId="2A6685FF" w14:textId="4236208A" w:rsidR="00635D9D" w:rsidRDefault="002D302F" w:rsidP="00BC7E05">
      <w:pPr>
        <w:pStyle w:val="Overskrift2"/>
        <w:jc w:val="both"/>
      </w:pPr>
      <w:bookmarkStart w:id="7" w:name="_Toc198552618"/>
      <w:r>
        <w:t xml:space="preserve">3.3. </w:t>
      </w:r>
      <w:r w:rsidR="00635D9D">
        <w:t>Løbende tilsyn</w:t>
      </w:r>
      <w:bookmarkEnd w:id="7"/>
    </w:p>
    <w:p w14:paraId="3A2F42E8" w14:textId="77777777" w:rsidR="00635D9D" w:rsidRDefault="00635D9D" w:rsidP="00BC7E05">
      <w:pPr>
        <w:jc w:val="both"/>
      </w:pPr>
    </w:p>
    <w:p w14:paraId="42268BC2" w14:textId="128DDB3F" w:rsidR="00635D9D" w:rsidRDefault="00635D9D" w:rsidP="00BC7E05">
      <w:pPr>
        <w:jc w:val="both"/>
      </w:pPr>
      <w:r>
        <w:t>Projektmaterialet skal tydeligt beskrive de særlige risici, der er forbundet med arbejdets udførelse. Det anbefales a</w:t>
      </w:r>
      <w:r w:rsidR="00CC0206">
        <w:t>t</w:t>
      </w:r>
      <w:r>
        <w:t xml:space="preserve"> udbudsmaterialet angiver, hvilke </w:t>
      </w:r>
      <w:r w:rsidR="00434C47">
        <w:t>tilsyn</w:t>
      </w:r>
      <w:r>
        <w:t xml:space="preserve"> og </w:t>
      </w:r>
      <w:r w:rsidR="00434C47">
        <w:t>kontrol</w:t>
      </w:r>
      <w:r>
        <w:t xml:space="preserve"> bygherre ønsker gennemført</w:t>
      </w:r>
      <w:r w:rsidR="00CC0206">
        <w:t>,</w:t>
      </w:r>
      <w:r>
        <w:t xml:space="preserve"> og at de fremgår af tidsplanen.</w:t>
      </w:r>
    </w:p>
    <w:p w14:paraId="5BCC6445" w14:textId="6720C50B" w:rsidR="00635D9D" w:rsidRDefault="00635D9D" w:rsidP="00BC7E05">
      <w:pPr>
        <w:jc w:val="both"/>
      </w:pPr>
      <w:r>
        <w:t xml:space="preserve">Samtidig er det en projektansvarlige </w:t>
      </w:r>
      <w:proofErr w:type="spellStart"/>
      <w:r>
        <w:t>MRK´s</w:t>
      </w:r>
      <w:proofErr w:type="spellEnd"/>
      <w:r>
        <w:t xml:space="preserve"> ansvar at sikre, at den indledende registrering i </w:t>
      </w:r>
      <w:r w:rsidRPr="00CD1D0C">
        <w:rPr>
          <w:i/>
          <w:iCs/>
        </w:rPr>
        <w:t>Skema for ressource og affalds</w:t>
      </w:r>
      <w:r w:rsidR="004B436A">
        <w:rPr>
          <w:i/>
          <w:iCs/>
        </w:rPr>
        <w:t>fraktioner</w:t>
      </w:r>
      <w:r>
        <w:rPr>
          <w:i/>
          <w:iCs/>
        </w:rPr>
        <w:t xml:space="preserve"> </w:t>
      </w:r>
      <w:r>
        <w:t xml:space="preserve">løbende opdateres. </w:t>
      </w:r>
    </w:p>
    <w:p w14:paraId="4B2FA041" w14:textId="77777777" w:rsidR="00635D9D" w:rsidRPr="007D3863" w:rsidRDefault="00635D9D" w:rsidP="00BC7E05">
      <w:pPr>
        <w:jc w:val="both"/>
      </w:pPr>
    </w:p>
    <w:p w14:paraId="7D23BABF" w14:textId="13AD1875" w:rsidR="00635D9D" w:rsidRDefault="002D302F" w:rsidP="00BC7E05">
      <w:pPr>
        <w:pStyle w:val="Overskrift2"/>
        <w:jc w:val="both"/>
      </w:pPr>
      <w:bookmarkStart w:id="8" w:name="_Toc198552619"/>
      <w:r>
        <w:t xml:space="preserve">3.4. </w:t>
      </w:r>
      <w:r w:rsidR="00635D9D">
        <w:t>Opfølgning og aflevering</w:t>
      </w:r>
      <w:bookmarkEnd w:id="8"/>
    </w:p>
    <w:p w14:paraId="5EC0291F" w14:textId="77777777" w:rsidR="00635D9D" w:rsidRPr="00030459" w:rsidRDefault="00635D9D" w:rsidP="00BC7E05">
      <w:pPr>
        <w:jc w:val="both"/>
      </w:pPr>
    </w:p>
    <w:p w14:paraId="0CF66E4B" w14:textId="3D34F919" w:rsidR="00635D9D" w:rsidRDefault="00635D9D" w:rsidP="00BC7E05">
      <w:pPr>
        <w:jc w:val="both"/>
      </w:pPr>
      <w:r>
        <w:t>Aflevering af en nedrivningsopgave består af en gennemgang af det gennemførte arbejde og skal sikre</w:t>
      </w:r>
      <w:r w:rsidR="00E775D2">
        <w:t>,</w:t>
      </w:r>
      <w:r>
        <w:t xml:space="preserve"> at arbejdet er udført som aftalt. Listen er ikke udtømmende:</w:t>
      </w:r>
    </w:p>
    <w:p w14:paraId="64F1F987" w14:textId="77777777" w:rsidR="00635D9D" w:rsidRDefault="00635D9D" w:rsidP="00BC7E05">
      <w:pPr>
        <w:jc w:val="both"/>
      </w:pPr>
    </w:p>
    <w:p w14:paraId="31FE986B" w14:textId="77777777" w:rsidR="00635D9D" w:rsidRDefault="00635D9D" w:rsidP="0039527D">
      <w:pPr>
        <w:pStyle w:val="Listeafsnit"/>
        <w:numPr>
          <w:ilvl w:val="0"/>
          <w:numId w:val="33"/>
        </w:numPr>
        <w:jc w:val="both"/>
      </w:pPr>
      <w:r>
        <w:t>Er affald sorteret og bortskaffet efter forskrifterne</w:t>
      </w:r>
    </w:p>
    <w:p w14:paraId="0F2A1BB0" w14:textId="77777777" w:rsidR="00635D9D" w:rsidRDefault="00635D9D" w:rsidP="0039527D">
      <w:pPr>
        <w:pStyle w:val="Listeafsnit"/>
        <w:numPr>
          <w:ilvl w:val="0"/>
          <w:numId w:val="33"/>
        </w:numPr>
        <w:jc w:val="both"/>
      </w:pPr>
      <w:r>
        <w:t>Er konstruktioner, der ønskes bevaret, beskadiget</w:t>
      </w:r>
    </w:p>
    <w:p w14:paraId="5D74E81B" w14:textId="77777777" w:rsidR="00635D9D" w:rsidRDefault="00635D9D" w:rsidP="0039527D">
      <w:pPr>
        <w:pStyle w:val="Listeafsnit"/>
        <w:numPr>
          <w:ilvl w:val="0"/>
          <w:numId w:val="33"/>
        </w:numPr>
        <w:jc w:val="both"/>
      </w:pPr>
      <w:r>
        <w:t>Er afløbsledninger funktionsdygtige</w:t>
      </w:r>
    </w:p>
    <w:p w14:paraId="68F94459" w14:textId="77777777" w:rsidR="00635D9D" w:rsidRPr="00B85DE9" w:rsidRDefault="00635D9D" w:rsidP="0039527D">
      <w:pPr>
        <w:pStyle w:val="Listeafsnit"/>
        <w:numPr>
          <w:ilvl w:val="0"/>
          <w:numId w:val="33"/>
        </w:numPr>
        <w:jc w:val="both"/>
      </w:pPr>
      <w:r>
        <w:t>Er der aftaler om delafleveringer/oplagring af materialer – skæringsdatoer angives</w:t>
      </w:r>
    </w:p>
    <w:p w14:paraId="3422F56D" w14:textId="77777777" w:rsidR="00635D9D" w:rsidRDefault="00635D9D" w:rsidP="00BC7E05">
      <w:pPr>
        <w:pStyle w:val="Listeafsnit"/>
        <w:ind w:left="360"/>
        <w:jc w:val="both"/>
      </w:pPr>
    </w:p>
    <w:p w14:paraId="2A41471C" w14:textId="77777777" w:rsidR="00635D9D" w:rsidRDefault="00635D9D" w:rsidP="00BC7E05">
      <w:pPr>
        <w:pStyle w:val="Listeafsnit"/>
        <w:jc w:val="both"/>
      </w:pPr>
    </w:p>
    <w:p w14:paraId="004D72CA" w14:textId="315C0A0F" w:rsidR="006E2087" w:rsidRPr="00543717" w:rsidRDefault="006E2087" w:rsidP="00183944">
      <w:pPr>
        <w:pStyle w:val="Overskrift1"/>
      </w:pPr>
      <w:bookmarkStart w:id="9" w:name="_Toc198552620"/>
      <w:r w:rsidRPr="00543717">
        <w:t>Udbuddets indhold</w:t>
      </w:r>
      <w:bookmarkEnd w:id="9"/>
    </w:p>
    <w:p w14:paraId="492A7742" w14:textId="77777777" w:rsidR="00821030" w:rsidRPr="00821030" w:rsidRDefault="00821030" w:rsidP="00BC7E05">
      <w:pPr>
        <w:jc w:val="both"/>
      </w:pPr>
    </w:p>
    <w:p w14:paraId="3F5DFC43" w14:textId="611C7E50" w:rsidR="000A4F8A" w:rsidRDefault="006E7D45" w:rsidP="00BC7E05">
      <w:pPr>
        <w:jc w:val="both"/>
        <w:rPr>
          <w:shd w:val="clear" w:color="auto" w:fill="FEFEFE"/>
        </w:rPr>
      </w:pPr>
      <w:r>
        <w:rPr>
          <w:shd w:val="clear" w:color="auto" w:fill="FEFEFE"/>
        </w:rPr>
        <w:t>Hvor nedrivningsarbejdet skal udføres som selektiv nedrivning, skal dette fremgå af udbudsmaterialet</w:t>
      </w:r>
      <w:r w:rsidR="000A4F8A">
        <w:rPr>
          <w:shd w:val="clear" w:color="auto" w:fill="FEFEFE"/>
        </w:rPr>
        <w:t>. H</w:t>
      </w:r>
      <w:r>
        <w:rPr>
          <w:shd w:val="clear" w:color="auto" w:fill="FEFEFE"/>
        </w:rPr>
        <w:t>erunder at rækkefølgen for nedrivningen er planlagt, og at dette fremgår af tidsplanen.</w:t>
      </w:r>
    </w:p>
    <w:p w14:paraId="4E3F2DB0" w14:textId="77777777" w:rsidR="002529CB" w:rsidRDefault="002529CB" w:rsidP="00BC7E05">
      <w:pPr>
        <w:jc w:val="both"/>
        <w:rPr>
          <w:shd w:val="clear" w:color="auto" w:fill="FEFEFE"/>
        </w:rPr>
      </w:pPr>
    </w:p>
    <w:p w14:paraId="0D98CC73" w14:textId="0F552E62" w:rsidR="002529CB" w:rsidRDefault="00E11CFE" w:rsidP="00BC7E05">
      <w:pPr>
        <w:pStyle w:val="Overskrift2"/>
        <w:jc w:val="both"/>
      </w:pPr>
      <w:bookmarkStart w:id="10" w:name="_Toc198552621"/>
      <w:r>
        <w:t xml:space="preserve">4.1. </w:t>
      </w:r>
      <w:r w:rsidR="002529CB">
        <w:t>Tidsplan</w:t>
      </w:r>
      <w:bookmarkEnd w:id="10"/>
    </w:p>
    <w:p w14:paraId="39E8191E" w14:textId="77777777" w:rsidR="002529CB" w:rsidRDefault="002529CB" w:rsidP="00BC7E05">
      <w:pPr>
        <w:jc w:val="both"/>
      </w:pPr>
    </w:p>
    <w:p w14:paraId="1818565D" w14:textId="77777777" w:rsidR="002529CB" w:rsidRDefault="002529CB" w:rsidP="00BC7E05">
      <w:pPr>
        <w:jc w:val="both"/>
      </w:pPr>
      <w:r>
        <w:t>Det tager normalt længere tid at nedrive, når materialerne ønskes genbrugt. Derfor er det vigtigt at der afsættes tilstrækkelig tid til at opgaven kan udføres arbejdsmiljømæssigt forsvarligt. Hvis der aftales kritiske leveringstider for projektets materialer, er det vigtigt at de fastsatte datoer fremgår af tidsplanen.</w:t>
      </w:r>
    </w:p>
    <w:p w14:paraId="78B5E5AE" w14:textId="77777777" w:rsidR="002529CB" w:rsidRDefault="002529CB" w:rsidP="00BC7E05">
      <w:pPr>
        <w:jc w:val="both"/>
      </w:pPr>
    </w:p>
    <w:p w14:paraId="75393161" w14:textId="77777777" w:rsidR="002529CB" w:rsidRPr="001B4D3E" w:rsidRDefault="002529CB" w:rsidP="00BC7E05">
      <w:pPr>
        <w:jc w:val="both"/>
      </w:pPr>
      <w:r>
        <w:t>Tidsplanen udfyldes i PSS/mini PSS</w:t>
      </w:r>
    </w:p>
    <w:p w14:paraId="2E28491B" w14:textId="77777777" w:rsidR="002529CB" w:rsidRPr="00F279E1" w:rsidRDefault="002529CB" w:rsidP="00BC7E05">
      <w:pPr>
        <w:jc w:val="both"/>
      </w:pPr>
    </w:p>
    <w:p w14:paraId="32F50D40" w14:textId="77777777" w:rsidR="002529CB" w:rsidRDefault="002529CB" w:rsidP="00BC7E05">
      <w:pPr>
        <w:jc w:val="both"/>
        <w:rPr>
          <w:shd w:val="clear" w:color="auto" w:fill="FEFEFE"/>
        </w:rPr>
      </w:pPr>
    </w:p>
    <w:p w14:paraId="2F218D8F" w14:textId="77777777" w:rsidR="00020080" w:rsidRDefault="00020080" w:rsidP="00BC7E05">
      <w:pPr>
        <w:spacing w:after="160"/>
        <w:jc w:val="both"/>
        <w:rPr>
          <w:rFonts w:eastAsiaTheme="majorEastAsia" w:cstheme="majorBidi"/>
          <w:sz w:val="24"/>
          <w:szCs w:val="26"/>
        </w:rPr>
      </w:pPr>
      <w:r>
        <w:br w:type="page"/>
      </w:r>
    </w:p>
    <w:p w14:paraId="176A84D4" w14:textId="5C285193" w:rsidR="006E2087" w:rsidRPr="00864188" w:rsidRDefault="00E11CFE" w:rsidP="00BC7E05">
      <w:pPr>
        <w:pStyle w:val="Overskrift2"/>
        <w:jc w:val="both"/>
      </w:pPr>
      <w:bookmarkStart w:id="11" w:name="_Toc198552622"/>
      <w:r>
        <w:lastRenderedPageBreak/>
        <w:t xml:space="preserve">4.2. </w:t>
      </w:r>
      <w:r w:rsidR="006E2087" w:rsidRPr="008635E0">
        <w:t>Grundlæggende kriterier</w:t>
      </w:r>
      <w:bookmarkEnd w:id="11"/>
    </w:p>
    <w:p w14:paraId="43DBF6B4" w14:textId="77777777" w:rsidR="009877EE" w:rsidRDefault="009877EE" w:rsidP="00BC7E05">
      <w:pPr>
        <w:jc w:val="both"/>
      </w:pPr>
    </w:p>
    <w:p w14:paraId="4689CC08" w14:textId="08379B75" w:rsidR="008635E0" w:rsidRPr="00244703" w:rsidRDefault="008635E0" w:rsidP="00BC7E05">
      <w:pPr>
        <w:jc w:val="both"/>
      </w:pPr>
      <w:r w:rsidRPr="00244703">
        <w:t>Selv med grundige forundersøgelser og ressourcekortlægning vil der ofte opstå nye forhold under selve nedrivningen. Det kan være materialer der viser sig at være i dårligere stand end vurderet. Håndtering</w:t>
      </w:r>
      <w:r>
        <w:t xml:space="preserve"> at materialerne,</w:t>
      </w:r>
      <w:r w:rsidRPr="00244703">
        <w:t xml:space="preserve"> der ikke kan gennemføres som forventet eller nye muligheder for genbrug der opstår undervejs. Derfor er det vigtigt at stille krav om tilsyn og kontrol.</w:t>
      </w:r>
    </w:p>
    <w:p w14:paraId="2F6523F4" w14:textId="4B4D81AE" w:rsidR="008635E0" w:rsidRPr="008635E0" w:rsidRDefault="008635E0" w:rsidP="00BC7E05">
      <w:pPr>
        <w:pStyle w:val="Ingenafstand"/>
        <w:spacing w:line="259" w:lineRule="auto"/>
        <w:jc w:val="both"/>
      </w:pPr>
    </w:p>
    <w:p w14:paraId="56210156" w14:textId="66ADC6EF" w:rsidR="008635E0" w:rsidRDefault="008635E0" w:rsidP="00BC7E05">
      <w:pPr>
        <w:jc w:val="both"/>
      </w:pPr>
      <w:r>
        <w:t>I udbudsmaterialet skal være indeholdt krav til:</w:t>
      </w:r>
    </w:p>
    <w:p w14:paraId="2E31679B" w14:textId="1A89046C" w:rsidR="00DD0C52" w:rsidRDefault="00DD0C52" w:rsidP="00BC7E05">
      <w:pPr>
        <w:jc w:val="both"/>
      </w:pPr>
    </w:p>
    <w:p w14:paraId="48CF274E" w14:textId="4356CB50" w:rsidR="00290589" w:rsidRDefault="00290589" w:rsidP="00BC7E05">
      <w:pPr>
        <w:jc w:val="both"/>
      </w:pPr>
    </w:p>
    <w:p w14:paraId="52BAFAE5" w14:textId="77777777" w:rsidR="00290589" w:rsidRDefault="00290589" w:rsidP="00BC7E05">
      <w:pPr>
        <w:jc w:val="both"/>
      </w:pPr>
    </w:p>
    <w:p w14:paraId="203EDD48" w14:textId="77777777" w:rsidR="00290589" w:rsidRDefault="00290589" w:rsidP="00BC7E05">
      <w:pPr>
        <w:jc w:val="both"/>
      </w:pPr>
    </w:p>
    <w:p w14:paraId="267B03D6" w14:textId="77777777" w:rsidR="00290589" w:rsidRDefault="00290589" w:rsidP="00BC7E05">
      <w:pPr>
        <w:jc w:val="both"/>
      </w:pPr>
    </w:p>
    <w:p w14:paraId="42B579CC" w14:textId="77777777" w:rsidR="00290589" w:rsidRDefault="00290589" w:rsidP="00BC7E05">
      <w:pPr>
        <w:jc w:val="both"/>
      </w:pPr>
    </w:p>
    <w:p w14:paraId="1B13F3E9" w14:textId="77777777" w:rsidR="00290589" w:rsidRDefault="00290589" w:rsidP="00BC7E05">
      <w:pPr>
        <w:jc w:val="both"/>
      </w:pPr>
    </w:p>
    <w:p w14:paraId="16CE0A52" w14:textId="77777777" w:rsidR="00290589" w:rsidRDefault="00290589" w:rsidP="00BC7E05">
      <w:pPr>
        <w:jc w:val="both"/>
      </w:pPr>
    </w:p>
    <w:p w14:paraId="52DA8611" w14:textId="77777777" w:rsidR="00290589" w:rsidRDefault="00290589" w:rsidP="00BC7E05">
      <w:pPr>
        <w:jc w:val="both"/>
      </w:pPr>
    </w:p>
    <w:p w14:paraId="1F33F9FD" w14:textId="77777777" w:rsidR="00290589" w:rsidRDefault="00290589" w:rsidP="00BC7E05">
      <w:pPr>
        <w:jc w:val="both"/>
      </w:pPr>
    </w:p>
    <w:p w14:paraId="5F72913F" w14:textId="77777777" w:rsidR="00290589" w:rsidRDefault="00290589" w:rsidP="00BC7E05">
      <w:pPr>
        <w:jc w:val="both"/>
      </w:pPr>
    </w:p>
    <w:p w14:paraId="4C6422C3" w14:textId="77777777" w:rsidR="00290589" w:rsidRDefault="00290589" w:rsidP="00BC7E05">
      <w:pPr>
        <w:jc w:val="both"/>
      </w:pPr>
    </w:p>
    <w:p w14:paraId="212CDFB9" w14:textId="77777777" w:rsidR="00290589" w:rsidRDefault="00290589" w:rsidP="00BC7E05">
      <w:pPr>
        <w:jc w:val="both"/>
      </w:pPr>
    </w:p>
    <w:p w14:paraId="04AA1C29" w14:textId="77777777" w:rsidR="00290589" w:rsidRDefault="00290589" w:rsidP="00BC7E05">
      <w:pPr>
        <w:jc w:val="both"/>
      </w:pPr>
    </w:p>
    <w:p w14:paraId="32019425" w14:textId="77777777" w:rsidR="00290589" w:rsidRDefault="00290589" w:rsidP="00BC7E05">
      <w:pPr>
        <w:jc w:val="both"/>
      </w:pPr>
    </w:p>
    <w:p w14:paraId="4FD35910" w14:textId="73CABA37" w:rsidR="00020080" w:rsidRDefault="00614D16" w:rsidP="00BC7E05">
      <w:pPr>
        <w:jc w:val="both"/>
      </w:pPr>
      <w:r>
        <w:rPr>
          <w:noProof/>
        </w:rPr>
        <w:drawing>
          <wp:anchor distT="0" distB="0" distL="114300" distR="114300" simplePos="0" relativeHeight="251664896" behindDoc="0" locked="0" layoutInCell="1" allowOverlap="1" wp14:anchorId="634DC542" wp14:editId="651EDF3B">
            <wp:simplePos x="0" y="0"/>
            <wp:positionH relativeFrom="margin">
              <wp:posOffset>-27940</wp:posOffset>
            </wp:positionH>
            <wp:positionV relativeFrom="margin">
              <wp:posOffset>1623780</wp:posOffset>
            </wp:positionV>
            <wp:extent cx="4111200" cy="3402000"/>
            <wp:effectExtent l="0" t="0" r="3810" b="8255"/>
            <wp:wrapSquare wrapText="bothSides"/>
            <wp:docPr id="209242652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426529" name=""/>
                    <pic:cNvPicPr/>
                  </pic:nvPicPr>
                  <pic:blipFill>
                    <a:blip r:embed="rId13">
                      <a:extLst>
                        <a:ext uri="{28A0092B-C50C-407E-A947-70E740481C1C}">
                          <a14:useLocalDpi xmlns:a14="http://schemas.microsoft.com/office/drawing/2010/main" val="0"/>
                        </a:ext>
                      </a:extLst>
                    </a:blip>
                    <a:stretch>
                      <a:fillRect/>
                    </a:stretch>
                  </pic:blipFill>
                  <pic:spPr>
                    <a:xfrm>
                      <a:off x="0" y="0"/>
                      <a:ext cx="4111200" cy="3402000"/>
                    </a:xfrm>
                    <a:prstGeom prst="rect">
                      <a:avLst/>
                    </a:prstGeom>
                  </pic:spPr>
                </pic:pic>
              </a:graphicData>
            </a:graphic>
            <wp14:sizeRelH relativeFrom="margin">
              <wp14:pctWidth>0</wp14:pctWidth>
            </wp14:sizeRelH>
            <wp14:sizeRelV relativeFrom="margin">
              <wp14:pctHeight>0</wp14:pctHeight>
            </wp14:sizeRelV>
          </wp:anchor>
        </w:drawing>
      </w:r>
    </w:p>
    <w:p w14:paraId="42AB6D5B" w14:textId="77777777" w:rsidR="004F6B62" w:rsidRDefault="004F6B62" w:rsidP="00BC7E05">
      <w:pPr>
        <w:pStyle w:val="Listeafsnit"/>
        <w:jc w:val="both"/>
      </w:pPr>
    </w:p>
    <w:p w14:paraId="6C2F7B49" w14:textId="58B9B151" w:rsidR="004F6B62" w:rsidRDefault="004F6B62" w:rsidP="00BC7E05">
      <w:pPr>
        <w:pStyle w:val="Listeafsnit"/>
        <w:jc w:val="both"/>
      </w:pPr>
    </w:p>
    <w:p w14:paraId="4C37B89D" w14:textId="458FF840" w:rsidR="00020080" w:rsidRDefault="00020080" w:rsidP="00BC7E05">
      <w:pPr>
        <w:pStyle w:val="Listeafsnit"/>
        <w:jc w:val="both"/>
      </w:pPr>
    </w:p>
    <w:p w14:paraId="58E9B2DA" w14:textId="53CE08E2" w:rsidR="00E11CFE" w:rsidRDefault="00E11CFE" w:rsidP="00BC7E05">
      <w:pPr>
        <w:ind w:left="360"/>
        <w:jc w:val="both"/>
      </w:pPr>
    </w:p>
    <w:p w14:paraId="35E2A93F" w14:textId="77777777" w:rsidR="00896F33" w:rsidRDefault="00896F33" w:rsidP="00BC7E05">
      <w:pPr>
        <w:jc w:val="both"/>
        <w:rPr>
          <w:sz w:val="16"/>
          <w:szCs w:val="16"/>
        </w:rPr>
      </w:pPr>
    </w:p>
    <w:p w14:paraId="7C349CB9" w14:textId="77777777" w:rsidR="00896F33" w:rsidRDefault="00896F33" w:rsidP="00BC7E05">
      <w:pPr>
        <w:jc w:val="both"/>
        <w:rPr>
          <w:sz w:val="16"/>
          <w:szCs w:val="16"/>
        </w:rPr>
      </w:pPr>
    </w:p>
    <w:p w14:paraId="40C9BAB2" w14:textId="77777777" w:rsidR="00127465" w:rsidRDefault="00127465" w:rsidP="00BC7E05">
      <w:pPr>
        <w:jc w:val="both"/>
        <w:rPr>
          <w:sz w:val="16"/>
          <w:szCs w:val="16"/>
        </w:rPr>
      </w:pPr>
    </w:p>
    <w:p w14:paraId="5939B7C9" w14:textId="48ABA70E" w:rsidR="00896F33" w:rsidRDefault="00290589" w:rsidP="00BC7E05">
      <w:pPr>
        <w:jc w:val="both"/>
      </w:pPr>
      <w:r w:rsidRPr="00BC7E05">
        <w:rPr>
          <w:sz w:val="16"/>
          <w:szCs w:val="16"/>
        </w:rPr>
        <w:t>Kilde: Værdibyg, 35 Cirkulær nedrivning</w:t>
      </w:r>
      <w:r w:rsidDel="004F6B62">
        <w:t xml:space="preserve"> </w:t>
      </w:r>
    </w:p>
    <w:p w14:paraId="03AFE392" w14:textId="77777777" w:rsidR="00896F33" w:rsidRDefault="00896F33" w:rsidP="0058190C">
      <w:pPr>
        <w:jc w:val="both"/>
      </w:pPr>
    </w:p>
    <w:p w14:paraId="4B3D14D6" w14:textId="558466CC" w:rsidR="008635E0" w:rsidRDefault="004F6B62" w:rsidP="00DC76AF">
      <w:pPr>
        <w:pStyle w:val="Listeafsnit"/>
        <w:numPr>
          <w:ilvl w:val="1"/>
          <w:numId w:val="32"/>
        </w:numPr>
        <w:jc w:val="both"/>
      </w:pPr>
      <w:r>
        <w:t>U</w:t>
      </w:r>
      <w:r w:rsidR="008635E0">
        <w:t>dbudskontrolplaner</w:t>
      </w:r>
    </w:p>
    <w:p w14:paraId="0155325C" w14:textId="74A54FED" w:rsidR="008635E0" w:rsidRDefault="008635E0" w:rsidP="00DC76AF">
      <w:pPr>
        <w:pStyle w:val="Listeafsnit"/>
        <w:numPr>
          <w:ilvl w:val="1"/>
          <w:numId w:val="32"/>
        </w:numPr>
        <w:jc w:val="both"/>
      </w:pPr>
      <w:r>
        <w:t>Tilsynsnotater</w:t>
      </w:r>
    </w:p>
    <w:p w14:paraId="3C799404" w14:textId="5125C82D" w:rsidR="008635E0" w:rsidRDefault="008635E0" w:rsidP="00DC76AF">
      <w:pPr>
        <w:pStyle w:val="Listeafsnit"/>
        <w:numPr>
          <w:ilvl w:val="1"/>
          <w:numId w:val="32"/>
        </w:numPr>
        <w:jc w:val="both"/>
      </w:pPr>
      <w:r>
        <w:t>Slutkontrol</w:t>
      </w:r>
    </w:p>
    <w:p w14:paraId="6E09545D" w14:textId="4CB90B86" w:rsidR="00382AEE" w:rsidRDefault="00382AEE" w:rsidP="00BC7E05">
      <w:pPr>
        <w:pStyle w:val="Listeafsnit"/>
        <w:jc w:val="both"/>
      </w:pPr>
    </w:p>
    <w:p w14:paraId="77978D13" w14:textId="5E664F3F" w:rsidR="008635E0" w:rsidRDefault="008635E0" w:rsidP="00BC7E05">
      <w:pPr>
        <w:jc w:val="both"/>
      </w:pPr>
    </w:p>
    <w:p w14:paraId="05268E26" w14:textId="3278144B" w:rsidR="008635E0" w:rsidRDefault="008635E0" w:rsidP="00BC7E05">
      <w:pPr>
        <w:jc w:val="both"/>
      </w:pPr>
      <w:r>
        <w:t>På samme måde har erfaringer fra konkrete projekter med krav om genbrug, vist at det i høj grad også er vigtigt at beskrive hvordan materialerne skal håndteres. Under nedtagning, oplagring og forsendelse, for at sikre at materialernes kvalitet fastholdes. Derfor skal håndtering af materialer på samme måde beskrives i udbudsmaterialet.</w:t>
      </w:r>
    </w:p>
    <w:p w14:paraId="447149FE" w14:textId="77777777" w:rsidR="008635E0" w:rsidRDefault="008635E0" w:rsidP="00BC7E05">
      <w:pPr>
        <w:jc w:val="both"/>
        <w:rPr>
          <w:u w:val="single"/>
        </w:rPr>
      </w:pPr>
    </w:p>
    <w:p w14:paraId="2027A799" w14:textId="780A7682" w:rsidR="008635E0" w:rsidRPr="005D1CB9" w:rsidRDefault="008635E0" w:rsidP="00BC7E05">
      <w:pPr>
        <w:jc w:val="both"/>
        <w:rPr>
          <w:u w:val="single"/>
        </w:rPr>
      </w:pPr>
      <w:r w:rsidRPr="005D1CB9">
        <w:rPr>
          <w:u w:val="single"/>
        </w:rPr>
        <w:t>Håndtering af materialer</w:t>
      </w:r>
    </w:p>
    <w:p w14:paraId="2C5557AC" w14:textId="5E3C6B2D" w:rsidR="008635E0" w:rsidRDefault="008635E0" w:rsidP="0058190C">
      <w:pPr>
        <w:pStyle w:val="Listeafsnit"/>
        <w:numPr>
          <w:ilvl w:val="0"/>
          <w:numId w:val="29"/>
        </w:numPr>
        <w:jc w:val="both"/>
      </w:pPr>
      <w:r>
        <w:t>Nedtagning</w:t>
      </w:r>
    </w:p>
    <w:p w14:paraId="61113913" w14:textId="0D654993" w:rsidR="008635E0" w:rsidRDefault="008635E0" w:rsidP="0058190C">
      <w:pPr>
        <w:pStyle w:val="Listeafsnit"/>
        <w:numPr>
          <w:ilvl w:val="0"/>
          <w:numId w:val="29"/>
        </w:numPr>
        <w:jc w:val="both"/>
      </w:pPr>
      <w:r>
        <w:t xml:space="preserve">Stabling, palletering, </w:t>
      </w:r>
      <w:proofErr w:type="spellStart"/>
      <w:r>
        <w:t>wrapping</w:t>
      </w:r>
      <w:proofErr w:type="spellEnd"/>
    </w:p>
    <w:p w14:paraId="6CC774B4" w14:textId="44CF351E" w:rsidR="008635E0" w:rsidRDefault="008635E0" w:rsidP="0058190C">
      <w:pPr>
        <w:pStyle w:val="Listeafsnit"/>
        <w:numPr>
          <w:ilvl w:val="0"/>
          <w:numId w:val="29"/>
        </w:numPr>
        <w:jc w:val="both"/>
      </w:pPr>
      <w:r>
        <w:t>Opmærkning; længder, typer, størrelser, antal, vægt</w:t>
      </w:r>
    </w:p>
    <w:p w14:paraId="3AD4FF53" w14:textId="0C04B70F" w:rsidR="008635E0" w:rsidRDefault="008635E0" w:rsidP="00BC7E05">
      <w:pPr>
        <w:jc w:val="both"/>
      </w:pPr>
    </w:p>
    <w:p w14:paraId="1853D637" w14:textId="4AEEEF94" w:rsidR="008635E0" w:rsidRDefault="008635E0" w:rsidP="00BC7E05">
      <w:pPr>
        <w:jc w:val="both"/>
      </w:pPr>
      <w:r w:rsidRPr="006E0F56">
        <w:t>Det er bygherres opgave at sikre omfanget at tilsyn og kontrol er fyldestgørende. Enten ved at stille krav om gennemsyn og mulighed for kommentering af entreprenørens paradigmer forud for opstart eller ved at supplere med egne kontrolplaner og eget tilsyn.</w:t>
      </w:r>
    </w:p>
    <w:p w14:paraId="749FF3E9" w14:textId="0BB2313F" w:rsidR="009877EE" w:rsidRPr="00244703" w:rsidRDefault="00B51A5F" w:rsidP="00EF3A46">
      <w:pPr>
        <w:pStyle w:val="Overskrift2"/>
      </w:pPr>
      <w:bookmarkStart w:id="12" w:name="_Toc198552623"/>
      <w:r>
        <w:lastRenderedPageBreak/>
        <w:t xml:space="preserve">4.3. </w:t>
      </w:r>
      <w:r w:rsidR="009877EE" w:rsidRPr="00244703">
        <w:t>Oplagring</w:t>
      </w:r>
      <w:r w:rsidR="00F47FAF" w:rsidRPr="00244703">
        <w:t>, dokumentation og sporbarhed</w:t>
      </w:r>
      <w:bookmarkEnd w:id="12"/>
    </w:p>
    <w:p w14:paraId="3A6CA1CE" w14:textId="77777777" w:rsidR="00F47FAF" w:rsidRPr="005D1CB9" w:rsidRDefault="00F47FAF" w:rsidP="00BC7E05">
      <w:pPr>
        <w:jc w:val="both"/>
        <w:rPr>
          <w:u w:val="single"/>
        </w:rPr>
      </w:pPr>
    </w:p>
    <w:p w14:paraId="53ED15BE" w14:textId="6E59E48F" w:rsidR="00F47FAF" w:rsidRDefault="00F47FAF" w:rsidP="00BC7E05">
      <w:pPr>
        <w:jc w:val="both"/>
      </w:pPr>
      <w:r>
        <w:t>For materialer</w:t>
      </w:r>
      <w:r w:rsidR="005C75D5">
        <w:t>,</w:t>
      </w:r>
      <w:r>
        <w:t xml:space="preserve"> der ønskes genbrugt eller genanvendt</w:t>
      </w:r>
      <w:r w:rsidR="005C75D5">
        <w:t>,</w:t>
      </w:r>
      <w:r>
        <w:t xml:space="preserve"> er sporbarhed og dokumentation afgørende. Både ift. miljø og sundhedsskadelige stoffer</w:t>
      </w:r>
      <w:r w:rsidR="005C75D5">
        <w:t>,</w:t>
      </w:r>
      <w:r>
        <w:t xml:space="preserve"> men også af hensyn til materialernes konstruktionsmæssige egenskaber. </w:t>
      </w:r>
      <w:r w:rsidR="00497496">
        <w:t xml:space="preserve">Der kan med fordel arbejdes </w:t>
      </w:r>
      <w:r w:rsidR="00497496" w:rsidRPr="00497496">
        <w:t xml:space="preserve">med </w:t>
      </w:r>
      <w:r w:rsidR="00497496" w:rsidRPr="00244703">
        <w:t>risikoanalyser og oprettelse af et risikoregister for metoder og materialer, som ikke er gennemprøvede</w:t>
      </w:r>
      <w:r w:rsidR="00497496">
        <w:t>.</w:t>
      </w:r>
    </w:p>
    <w:p w14:paraId="226070B0" w14:textId="77777777" w:rsidR="008635E0" w:rsidRDefault="008635E0" w:rsidP="00BC7E05">
      <w:pPr>
        <w:jc w:val="both"/>
      </w:pPr>
    </w:p>
    <w:p w14:paraId="00F3A738" w14:textId="49F08CDF" w:rsidR="00F47FAF" w:rsidRDefault="00FE00AF" w:rsidP="00BC7E05">
      <w:pPr>
        <w:jc w:val="both"/>
      </w:pPr>
      <w:r>
        <w:t>Skal materialerne gemmes og anvendes i eget regi</w:t>
      </w:r>
      <w:r w:rsidR="00F47FAF">
        <w:t xml:space="preserve">, kan det være hensigtsmæssigt med oplagring på et midlertidigt lager. Evt. med mulighed for delafleveringer. </w:t>
      </w:r>
      <w:r w:rsidR="000A4F8A">
        <w:t>Ansvaret</w:t>
      </w:r>
      <w:r w:rsidR="00911895">
        <w:t xml:space="preserve"> for </w:t>
      </w:r>
      <w:r w:rsidR="009047F7">
        <w:t xml:space="preserve">at </w:t>
      </w:r>
      <w:r w:rsidR="00911895">
        <w:t>materialern</w:t>
      </w:r>
      <w:r w:rsidR="009047F7">
        <w:t xml:space="preserve">e egner sig til formålet og at kvaliteten er </w:t>
      </w:r>
      <w:r w:rsidR="00497496" w:rsidRPr="00244703">
        <w:t>tilfredsstillende</w:t>
      </w:r>
      <w:r w:rsidR="000A4F8A">
        <w:t xml:space="preserve"> ligger hos bygherre.</w:t>
      </w:r>
    </w:p>
    <w:p w14:paraId="3D019462" w14:textId="77777777" w:rsidR="000A4F8A" w:rsidRDefault="000A4F8A" w:rsidP="00BC7E05">
      <w:pPr>
        <w:jc w:val="both"/>
      </w:pPr>
    </w:p>
    <w:p w14:paraId="3B72B37B" w14:textId="15C7879C" w:rsidR="000A4F8A" w:rsidRDefault="000A4F8A" w:rsidP="00BC7E05">
      <w:pPr>
        <w:jc w:val="both"/>
      </w:pPr>
      <w:r>
        <w:t xml:space="preserve">Videreformidles materialerne til en logistik-entreprenør og/eller </w:t>
      </w:r>
      <w:r w:rsidRPr="00FE00AF">
        <w:t>forhandler</w:t>
      </w:r>
      <w:r>
        <w:t xml:space="preserve"> af</w:t>
      </w:r>
      <w:r w:rsidRPr="00FE00AF">
        <w:t xml:space="preserve"> genbrugsvarer</w:t>
      </w:r>
      <w:r>
        <w:t xml:space="preserve"> er det ligeledes bygherres ansvar at sikre oplagring, dokumentation og sporbarhed iht. </w:t>
      </w:r>
      <w:r w:rsidR="008635E0">
        <w:t>Modtagers anvisninger.</w:t>
      </w:r>
    </w:p>
    <w:p w14:paraId="1E3879F3" w14:textId="77777777" w:rsidR="00F47FAF" w:rsidRDefault="00F47FAF" w:rsidP="00BC7E05">
      <w:pPr>
        <w:jc w:val="both"/>
      </w:pPr>
    </w:p>
    <w:p w14:paraId="24B5B533" w14:textId="09DC1678" w:rsidR="00E632DB" w:rsidRDefault="00FE00AF" w:rsidP="00BC7E05">
      <w:pPr>
        <w:jc w:val="both"/>
      </w:pPr>
      <w:r>
        <w:t xml:space="preserve">Skal </w:t>
      </w:r>
      <w:r w:rsidR="00B7625C">
        <w:t>materialerne</w:t>
      </w:r>
      <w:r>
        <w:t xml:space="preserve"> indgå i entreprisen med nedrivningsfirmaet, som efterfølgende er ansvarlige for at materialerne bliver genbrugt</w:t>
      </w:r>
      <w:r w:rsidR="00B7625C">
        <w:t>,</w:t>
      </w:r>
      <w:r w:rsidR="00E632DB">
        <w:t xml:space="preserve"> bortfalder bygherres ansvar</w:t>
      </w:r>
      <w:r w:rsidR="00B7625C">
        <w:t>.</w:t>
      </w:r>
      <w:r>
        <w:t xml:space="preserve"> </w:t>
      </w:r>
    </w:p>
    <w:p w14:paraId="7703E2F2" w14:textId="77777777" w:rsidR="00E632DB" w:rsidRDefault="00E632DB" w:rsidP="00BC7E05">
      <w:pPr>
        <w:jc w:val="both"/>
      </w:pPr>
    </w:p>
    <w:p w14:paraId="19ACB406" w14:textId="4225AE39" w:rsidR="00751875" w:rsidRDefault="00751875" w:rsidP="00BC7E05">
      <w:pPr>
        <w:jc w:val="both"/>
      </w:pPr>
      <w:r>
        <w:t>Overvej hvorledes det er mest hensigtsmæssigt at opbevare materialerne ift. håndværkernes arbejdsgange. Husk tilsyn, for at sikre materialerne opbevares som forskrevet.</w:t>
      </w:r>
    </w:p>
    <w:p w14:paraId="794E9444" w14:textId="77777777" w:rsidR="00FE00AF" w:rsidRDefault="00FE00AF" w:rsidP="00BC7E05">
      <w:pPr>
        <w:jc w:val="both"/>
      </w:pPr>
    </w:p>
    <w:p w14:paraId="1CDF15B4" w14:textId="77777777" w:rsidR="009877EE" w:rsidRPr="009877EE" w:rsidRDefault="009877EE" w:rsidP="00BC7E05">
      <w:pPr>
        <w:jc w:val="both"/>
      </w:pPr>
    </w:p>
    <w:p w14:paraId="1569D1A9" w14:textId="68AFC061" w:rsidR="006E2087" w:rsidRDefault="008A4173" w:rsidP="00BC7E05">
      <w:pPr>
        <w:pStyle w:val="Overskrift2"/>
        <w:jc w:val="both"/>
      </w:pPr>
      <w:bookmarkStart w:id="13" w:name="_Toc198552624"/>
      <w:r>
        <w:t xml:space="preserve">4.4. </w:t>
      </w:r>
      <w:r w:rsidR="006E2087" w:rsidRPr="00864188">
        <w:t>Region</w:t>
      </w:r>
      <w:r w:rsidR="00D675B7">
        <w:t xml:space="preserve"> Midtjyllands særlige </w:t>
      </w:r>
      <w:r w:rsidR="00902182">
        <w:t>krav</w:t>
      </w:r>
      <w:bookmarkEnd w:id="13"/>
    </w:p>
    <w:p w14:paraId="4FDC6651" w14:textId="77777777" w:rsidR="00902182" w:rsidRDefault="00902182" w:rsidP="00BC7E05">
      <w:pPr>
        <w:jc w:val="both"/>
      </w:pPr>
    </w:p>
    <w:p w14:paraId="4F180AE8" w14:textId="4A9B2394" w:rsidR="00374033" w:rsidRDefault="00902182" w:rsidP="00BC7E05">
      <w:pPr>
        <w:jc w:val="both"/>
      </w:pPr>
      <w:r>
        <w:t>For at understøtte</w:t>
      </w:r>
      <w:r w:rsidR="007F4487">
        <w:t>,</w:t>
      </w:r>
      <w:r>
        <w:t xml:space="preserve"> at mest mulig indgår i det cirkulære materialekredsløb</w:t>
      </w:r>
      <w:r w:rsidR="00D675B7">
        <w:t>,</w:t>
      </w:r>
      <w:r w:rsidR="00374033">
        <w:t xml:space="preserve"> </w:t>
      </w:r>
      <w:r w:rsidR="00D675B7">
        <w:t>s</w:t>
      </w:r>
      <w:r w:rsidR="00374033">
        <w:t>kal Region</w:t>
      </w:r>
      <w:r w:rsidR="00D675B7">
        <w:t xml:space="preserve"> Midtjylland</w:t>
      </w:r>
      <w:r w:rsidR="00374033">
        <w:t xml:space="preserve"> som bygherre sikre</w:t>
      </w:r>
      <w:r w:rsidR="00D675B7">
        <w:t>,</w:t>
      </w:r>
      <w:r w:rsidR="00374033">
        <w:t xml:space="preserve"> at de mest væsentlige informationer om hver enkelt materialetype</w:t>
      </w:r>
      <w:r w:rsidR="00BD47C9">
        <w:t>,</w:t>
      </w:r>
      <w:r w:rsidR="00374033">
        <w:t xml:space="preserve"> der nedtages, beskrives i et materialepas.</w:t>
      </w:r>
    </w:p>
    <w:p w14:paraId="686749A2" w14:textId="77777777" w:rsidR="00374033" w:rsidRDefault="00374033" w:rsidP="00BC7E05">
      <w:pPr>
        <w:jc w:val="both"/>
      </w:pPr>
    </w:p>
    <w:p w14:paraId="5D80C682" w14:textId="6F3429EF" w:rsidR="00374033" w:rsidRDefault="00374033" w:rsidP="00BC7E05">
      <w:pPr>
        <w:jc w:val="both"/>
      </w:pPr>
      <w:r>
        <w:t xml:space="preserve">Et </w:t>
      </w:r>
      <w:r w:rsidR="000D413A" w:rsidRPr="00244703">
        <w:rPr>
          <w:i/>
          <w:iCs/>
        </w:rPr>
        <w:t>M</w:t>
      </w:r>
      <w:r w:rsidRPr="00244703">
        <w:rPr>
          <w:i/>
          <w:iCs/>
        </w:rPr>
        <w:t>aterialepas</w:t>
      </w:r>
      <w:r>
        <w:t xml:space="preserve"> (Bilag </w:t>
      </w:r>
      <w:r w:rsidR="004B436A">
        <w:t>6</w:t>
      </w:r>
      <w:r>
        <w:t>) fungere</w:t>
      </w:r>
      <w:r w:rsidR="00BD47C9">
        <w:t>r</w:t>
      </w:r>
      <w:r>
        <w:t xml:space="preserve"> som datablad for genbrugsmaterialer ifm. drift og vedligehold samt ved fremtidig ressourcekortlægning. Et materialepas bør så vidt muligt indeholde flest mulige oplysninger om det pågældende materiale. For at lette overskueligheden for modtageren af materialerne, kan materialepasset med fordel vedhæftes som label på alle emballerede/palleterede genbrugsmaterialer inden bortkørsel.</w:t>
      </w:r>
    </w:p>
    <w:p w14:paraId="1BF3A6C7" w14:textId="77777777" w:rsidR="00374033" w:rsidRDefault="00374033" w:rsidP="00BC7E05">
      <w:pPr>
        <w:jc w:val="both"/>
      </w:pPr>
    </w:p>
    <w:p w14:paraId="16DC5785" w14:textId="454CE811" w:rsidR="00E32003" w:rsidRDefault="00374033" w:rsidP="00BC7E05">
      <w:pPr>
        <w:jc w:val="both"/>
      </w:pPr>
      <w:r>
        <w:t xml:space="preserve">Derforuden skal der tilvælges </w:t>
      </w:r>
      <w:r w:rsidR="00051637">
        <w:t>é</w:t>
      </w:r>
      <w:r w:rsidR="00BD47C9">
        <w:t>t</w:t>
      </w:r>
      <w:r w:rsidR="00E32003">
        <w:t xml:space="preserve"> eller flere kriterier fra nedenstående liste</w:t>
      </w:r>
      <w:r w:rsidR="00902182">
        <w:t xml:space="preserve"> (A-</w:t>
      </w:r>
      <w:r w:rsidR="00E564BB">
        <w:t>D</w:t>
      </w:r>
      <w:r w:rsidR="00902182">
        <w:t>)</w:t>
      </w:r>
      <w:r w:rsidR="00051637">
        <w:t>,</w:t>
      </w:r>
      <w:r w:rsidR="00E32003">
        <w:t xml:space="preserve"> </w:t>
      </w:r>
      <w:r>
        <w:t>som</w:t>
      </w:r>
      <w:r w:rsidR="00E32003">
        <w:t xml:space="preserve"> skal efterleve</w:t>
      </w:r>
      <w:r w:rsidR="00902182">
        <w:t>s</w:t>
      </w:r>
      <w:r w:rsidR="00E32003">
        <w:t xml:space="preserve"> i projektet.</w:t>
      </w:r>
      <w:r w:rsidR="00B7625C">
        <w:t xml:space="preserve"> Krav til dokumentation herfor beskrives i kontrolplan/tilsynsnotat.</w:t>
      </w:r>
    </w:p>
    <w:p w14:paraId="593AA5FB" w14:textId="77777777" w:rsidR="00E32003" w:rsidRDefault="00E32003" w:rsidP="00BC7E05">
      <w:pPr>
        <w:jc w:val="both"/>
      </w:pPr>
    </w:p>
    <w:p w14:paraId="21CE6438" w14:textId="5A641612" w:rsidR="00A9426A" w:rsidRDefault="00E32003" w:rsidP="00BC7E05">
      <w:pPr>
        <w:jc w:val="both"/>
      </w:pPr>
      <w:r>
        <w:t>A. Angiv</w:t>
      </w:r>
      <w:r w:rsidR="00A9426A">
        <w:t xml:space="preserve"> i % hvor stor en andel af de selektivt nedtagne materialer der </w:t>
      </w:r>
      <w:r w:rsidR="00A9426A" w:rsidRPr="00867127">
        <w:rPr>
          <w:i/>
          <w:iCs/>
        </w:rPr>
        <w:t xml:space="preserve">skal </w:t>
      </w:r>
      <w:r w:rsidR="00A9426A">
        <w:t>genbruges</w:t>
      </w:r>
      <w:r w:rsidR="008C1340">
        <w:t>.</w:t>
      </w:r>
      <w:r w:rsidR="00810F60">
        <w:t xml:space="preserve"> Opgør i </w:t>
      </w:r>
      <w:r w:rsidR="00A203B6">
        <w:t>vægt eller antal, alt efter materialets karakter.</w:t>
      </w:r>
    </w:p>
    <w:p w14:paraId="4DB73B0E" w14:textId="77777777" w:rsidR="00867127" w:rsidRDefault="00867127" w:rsidP="00BC7E05">
      <w:pPr>
        <w:jc w:val="both"/>
      </w:pPr>
    </w:p>
    <w:p w14:paraId="1BC070C6" w14:textId="6867F77F" w:rsidR="00867127" w:rsidRDefault="00867127" w:rsidP="00BC7E05">
      <w:pPr>
        <w:jc w:val="both"/>
      </w:pPr>
      <w:r>
        <w:t>________%</w:t>
      </w:r>
    </w:p>
    <w:p w14:paraId="291C786B" w14:textId="77777777" w:rsidR="00867127" w:rsidRDefault="00867127" w:rsidP="00BC7E05">
      <w:pPr>
        <w:jc w:val="both"/>
      </w:pPr>
    </w:p>
    <w:p w14:paraId="4FF1D170" w14:textId="0D00404F" w:rsidR="00A9426A" w:rsidRDefault="00E32003" w:rsidP="00BC7E05">
      <w:pPr>
        <w:jc w:val="both"/>
      </w:pPr>
      <w:r>
        <w:t>B. Hvilke</w:t>
      </w:r>
      <w:r w:rsidR="00A9426A">
        <w:t xml:space="preserve"> materialer </w:t>
      </w:r>
      <w:r w:rsidR="00A9426A" w:rsidRPr="00867127">
        <w:rPr>
          <w:i/>
          <w:iCs/>
        </w:rPr>
        <w:t>skal</w:t>
      </w:r>
      <w:r w:rsidR="00A9426A">
        <w:t xml:space="preserve"> </w:t>
      </w:r>
      <w:r w:rsidR="000E3BD8" w:rsidRPr="00867127">
        <w:rPr>
          <w:i/>
          <w:iCs/>
        </w:rPr>
        <w:t>som minimum</w:t>
      </w:r>
      <w:r w:rsidR="000E3BD8">
        <w:t xml:space="preserve"> </w:t>
      </w:r>
      <w:r w:rsidR="00A9426A">
        <w:t>genbruges</w:t>
      </w:r>
      <w:r w:rsidR="008C1340">
        <w:t>.</w:t>
      </w:r>
    </w:p>
    <w:p w14:paraId="1A0225FE" w14:textId="77777777" w:rsidR="008C1340" w:rsidRDefault="008C1340" w:rsidP="00BC7E05">
      <w:pPr>
        <w:jc w:val="both"/>
      </w:pPr>
    </w:p>
    <w:tbl>
      <w:tblPr>
        <w:tblStyle w:val="Tabel-Gitter"/>
        <w:tblW w:w="0" w:type="auto"/>
        <w:tblLook w:val="04A0" w:firstRow="1" w:lastRow="0" w:firstColumn="1" w:lastColumn="0" w:noHBand="0" w:noVBand="1"/>
      </w:tblPr>
      <w:tblGrid>
        <w:gridCol w:w="6804"/>
      </w:tblGrid>
      <w:tr w:rsidR="008C1340" w14:paraId="386A66A9" w14:textId="77777777" w:rsidTr="008C1340">
        <w:trPr>
          <w:trHeight w:val="397"/>
        </w:trPr>
        <w:tc>
          <w:tcPr>
            <w:tcW w:w="6804" w:type="dxa"/>
            <w:vAlign w:val="center"/>
          </w:tcPr>
          <w:p w14:paraId="71287701" w14:textId="77777777" w:rsidR="008C1340" w:rsidRDefault="008C1340" w:rsidP="00BC7E05">
            <w:pPr>
              <w:jc w:val="both"/>
            </w:pPr>
          </w:p>
        </w:tc>
      </w:tr>
      <w:tr w:rsidR="008C1340" w14:paraId="16493529" w14:textId="77777777" w:rsidTr="008C1340">
        <w:trPr>
          <w:trHeight w:val="397"/>
        </w:trPr>
        <w:tc>
          <w:tcPr>
            <w:tcW w:w="6804" w:type="dxa"/>
            <w:vAlign w:val="center"/>
          </w:tcPr>
          <w:p w14:paraId="64F140A0" w14:textId="77777777" w:rsidR="008C1340" w:rsidRDefault="008C1340" w:rsidP="00BC7E05">
            <w:pPr>
              <w:jc w:val="both"/>
            </w:pPr>
          </w:p>
        </w:tc>
      </w:tr>
      <w:tr w:rsidR="008C1340" w14:paraId="5514D25F" w14:textId="77777777" w:rsidTr="008C1340">
        <w:trPr>
          <w:trHeight w:val="397"/>
        </w:trPr>
        <w:tc>
          <w:tcPr>
            <w:tcW w:w="6804" w:type="dxa"/>
            <w:vAlign w:val="center"/>
          </w:tcPr>
          <w:p w14:paraId="1189231D" w14:textId="77777777" w:rsidR="008C1340" w:rsidRDefault="008C1340" w:rsidP="00BC7E05">
            <w:pPr>
              <w:jc w:val="both"/>
            </w:pPr>
          </w:p>
        </w:tc>
      </w:tr>
      <w:tr w:rsidR="008C1340" w14:paraId="53BAACD0" w14:textId="77777777" w:rsidTr="008C1340">
        <w:trPr>
          <w:trHeight w:val="397"/>
        </w:trPr>
        <w:tc>
          <w:tcPr>
            <w:tcW w:w="6804" w:type="dxa"/>
            <w:vAlign w:val="center"/>
          </w:tcPr>
          <w:p w14:paraId="1AD76141" w14:textId="77777777" w:rsidR="008C1340" w:rsidRDefault="008C1340" w:rsidP="00BC7E05">
            <w:pPr>
              <w:jc w:val="both"/>
            </w:pPr>
          </w:p>
        </w:tc>
      </w:tr>
    </w:tbl>
    <w:p w14:paraId="08114FFC" w14:textId="459D12D1" w:rsidR="00A9426A" w:rsidRDefault="00A203B6" w:rsidP="00BC7E05">
      <w:pPr>
        <w:jc w:val="both"/>
      </w:pPr>
      <w:r>
        <w:lastRenderedPageBreak/>
        <w:t>C</w:t>
      </w:r>
      <w:r w:rsidR="00E32003">
        <w:t>. Materialer</w:t>
      </w:r>
      <w:r w:rsidR="00A9426A">
        <w:t xml:space="preserve"> </w:t>
      </w:r>
      <w:r w:rsidR="00E564BB">
        <w:t>med særlige bygningskarakteristisk</w:t>
      </w:r>
      <w:r w:rsidR="008A4173">
        <w:t>e</w:t>
      </w:r>
      <w:r w:rsidR="00E564BB">
        <w:t xml:space="preserve"> elementer</w:t>
      </w:r>
      <w:r w:rsidR="00A9426A">
        <w:t xml:space="preserve"> </w:t>
      </w:r>
      <w:r w:rsidR="00E564BB">
        <w:t xml:space="preserve">skal genbruges </w:t>
      </w:r>
      <w:r w:rsidR="00A9426A">
        <w:t>i eget regi.</w:t>
      </w:r>
    </w:p>
    <w:p w14:paraId="231089F7" w14:textId="77777777" w:rsidR="008C1340" w:rsidRDefault="008C1340" w:rsidP="00BC7E05">
      <w:pPr>
        <w:jc w:val="both"/>
      </w:pPr>
    </w:p>
    <w:tbl>
      <w:tblPr>
        <w:tblStyle w:val="Tabel-Gitter"/>
        <w:tblW w:w="0" w:type="auto"/>
        <w:tblLook w:val="04A0" w:firstRow="1" w:lastRow="0" w:firstColumn="1" w:lastColumn="0" w:noHBand="0" w:noVBand="1"/>
      </w:tblPr>
      <w:tblGrid>
        <w:gridCol w:w="6804"/>
      </w:tblGrid>
      <w:tr w:rsidR="008C1340" w14:paraId="5D5E419E" w14:textId="77777777" w:rsidTr="008C1340">
        <w:trPr>
          <w:trHeight w:val="397"/>
        </w:trPr>
        <w:tc>
          <w:tcPr>
            <w:tcW w:w="6804" w:type="dxa"/>
            <w:vAlign w:val="center"/>
          </w:tcPr>
          <w:p w14:paraId="766A0C14" w14:textId="77777777" w:rsidR="008C1340" w:rsidRDefault="008C1340" w:rsidP="00BC7E05">
            <w:pPr>
              <w:jc w:val="both"/>
            </w:pPr>
          </w:p>
        </w:tc>
      </w:tr>
      <w:tr w:rsidR="008C1340" w14:paraId="481B018E" w14:textId="77777777" w:rsidTr="008C1340">
        <w:trPr>
          <w:trHeight w:val="397"/>
        </w:trPr>
        <w:tc>
          <w:tcPr>
            <w:tcW w:w="6804" w:type="dxa"/>
            <w:vAlign w:val="center"/>
          </w:tcPr>
          <w:p w14:paraId="04082909" w14:textId="77777777" w:rsidR="008C1340" w:rsidRDefault="008C1340" w:rsidP="00BC7E05">
            <w:pPr>
              <w:jc w:val="both"/>
            </w:pPr>
          </w:p>
        </w:tc>
      </w:tr>
      <w:tr w:rsidR="008C1340" w14:paraId="5400A5C5" w14:textId="77777777" w:rsidTr="008C1340">
        <w:trPr>
          <w:trHeight w:val="397"/>
        </w:trPr>
        <w:tc>
          <w:tcPr>
            <w:tcW w:w="6804" w:type="dxa"/>
            <w:vAlign w:val="center"/>
          </w:tcPr>
          <w:p w14:paraId="4F1782C5" w14:textId="77777777" w:rsidR="008C1340" w:rsidRDefault="008C1340" w:rsidP="00BC7E05">
            <w:pPr>
              <w:jc w:val="both"/>
            </w:pPr>
          </w:p>
        </w:tc>
      </w:tr>
      <w:tr w:rsidR="008C1340" w14:paraId="4B89077D" w14:textId="77777777" w:rsidTr="008C1340">
        <w:trPr>
          <w:trHeight w:val="397"/>
        </w:trPr>
        <w:tc>
          <w:tcPr>
            <w:tcW w:w="6804" w:type="dxa"/>
            <w:vAlign w:val="center"/>
          </w:tcPr>
          <w:p w14:paraId="37E4471D" w14:textId="77777777" w:rsidR="008C1340" w:rsidRDefault="008C1340" w:rsidP="00BC7E05">
            <w:pPr>
              <w:jc w:val="both"/>
            </w:pPr>
          </w:p>
        </w:tc>
      </w:tr>
    </w:tbl>
    <w:p w14:paraId="72349812" w14:textId="77777777" w:rsidR="00867127" w:rsidRDefault="00867127" w:rsidP="00BC7E05">
      <w:pPr>
        <w:jc w:val="both"/>
      </w:pPr>
    </w:p>
    <w:p w14:paraId="2B847014" w14:textId="77777777" w:rsidR="00867127" w:rsidRDefault="00867127" w:rsidP="00BC7E05">
      <w:pPr>
        <w:jc w:val="both"/>
      </w:pPr>
    </w:p>
    <w:p w14:paraId="5BB9380F" w14:textId="7613065C" w:rsidR="00A9426A" w:rsidRDefault="00A203B6" w:rsidP="00BC7E05">
      <w:pPr>
        <w:jc w:val="both"/>
      </w:pPr>
      <w:r>
        <w:t>D</w:t>
      </w:r>
      <w:r w:rsidR="00E32003">
        <w:t>. Materialer</w:t>
      </w:r>
      <w:r w:rsidR="00A9426A">
        <w:t xml:space="preserve"> </w:t>
      </w:r>
      <w:r w:rsidR="00867127">
        <w:t xml:space="preserve">der </w:t>
      </w:r>
      <w:r w:rsidR="00A9426A">
        <w:t>skal sendes i cirkulation via samarbejde med logistik entreprenør</w:t>
      </w:r>
      <w:r w:rsidR="008C1340">
        <w:t>.</w:t>
      </w:r>
    </w:p>
    <w:p w14:paraId="543A8EB9" w14:textId="77777777" w:rsidR="008C1340" w:rsidRDefault="008C1340" w:rsidP="00BC7E05">
      <w:pPr>
        <w:jc w:val="both"/>
      </w:pPr>
    </w:p>
    <w:tbl>
      <w:tblPr>
        <w:tblStyle w:val="Tabel-Gitter"/>
        <w:tblW w:w="0" w:type="auto"/>
        <w:tblLook w:val="04A0" w:firstRow="1" w:lastRow="0" w:firstColumn="1" w:lastColumn="0" w:noHBand="0" w:noVBand="1"/>
      </w:tblPr>
      <w:tblGrid>
        <w:gridCol w:w="6804"/>
      </w:tblGrid>
      <w:tr w:rsidR="008C1340" w14:paraId="5935347D" w14:textId="77777777" w:rsidTr="008C1340">
        <w:trPr>
          <w:trHeight w:val="397"/>
        </w:trPr>
        <w:tc>
          <w:tcPr>
            <w:tcW w:w="6804" w:type="dxa"/>
            <w:vAlign w:val="center"/>
          </w:tcPr>
          <w:p w14:paraId="62F12C16" w14:textId="77777777" w:rsidR="008C1340" w:rsidRDefault="008C1340" w:rsidP="00BC7E05">
            <w:pPr>
              <w:jc w:val="both"/>
            </w:pPr>
          </w:p>
        </w:tc>
      </w:tr>
      <w:tr w:rsidR="008C1340" w14:paraId="43EE5CE3" w14:textId="77777777" w:rsidTr="008C1340">
        <w:trPr>
          <w:trHeight w:val="397"/>
        </w:trPr>
        <w:tc>
          <w:tcPr>
            <w:tcW w:w="6804" w:type="dxa"/>
            <w:vAlign w:val="center"/>
          </w:tcPr>
          <w:p w14:paraId="692B79D9" w14:textId="77777777" w:rsidR="008C1340" w:rsidRDefault="008C1340" w:rsidP="00BC7E05">
            <w:pPr>
              <w:jc w:val="both"/>
            </w:pPr>
          </w:p>
        </w:tc>
      </w:tr>
      <w:tr w:rsidR="008C1340" w14:paraId="64E31B78" w14:textId="77777777" w:rsidTr="008C1340">
        <w:trPr>
          <w:trHeight w:val="397"/>
        </w:trPr>
        <w:tc>
          <w:tcPr>
            <w:tcW w:w="6804" w:type="dxa"/>
            <w:vAlign w:val="center"/>
          </w:tcPr>
          <w:p w14:paraId="2A6E4F40" w14:textId="77777777" w:rsidR="008C1340" w:rsidRDefault="008C1340" w:rsidP="00BC7E05">
            <w:pPr>
              <w:jc w:val="both"/>
            </w:pPr>
          </w:p>
        </w:tc>
      </w:tr>
      <w:tr w:rsidR="008C1340" w14:paraId="14584C82" w14:textId="77777777" w:rsidTr="008C1340">
        <w:trPr>
          <w:trHeight w:val="397"/>
        </w:trPr>
        <w:tc>
          <w:tcPr>
            <w:tcW w:w="6804" w:type="dxa"/>
            <w:vAlign w:val="center"/>
          </w:tcPr>
          <w:p w14:paraId="77A1C6E6" w14:textId="77777777" w:rsidR="008C1340" w:rsidRDefault="008C1340" w:rsidP="00BC7E05">
            <w:pPr>
              <w:jc w:val="both"/>
            </w:pPr>
          </w:p>
        </w:tc>
      </w:tr>
    </w:tbl>
    <w:p w14:paraId="4968E92E" w14:textId="77777777" w:rsidR="00867127" w:rsidRDefault="00867127" w:rsidP="00BC7E05">
      <w:pPr>
        <w:jc w:val="both"/>
      </w:pPr>
    </w:p>
    <w:p w14:paraId="54E31FF5" w14:textId="77777777" w:rsidR="008C1340" w:rsidRDefault="008C1340" w:rsidP="00BC7E05">
      <w:pPr>
        <w:jc w:val="both"/>
      </w:pPr>
    </w:p>
    <w:p w14:paraId="7E0323B5" w14:textId="4E2E228C" w:rsidR="007043A7" w:rsidRDefault="007043A7">
      <w:pPr>
        <w:spacing w:after="160"/>
      </w:pPr>
      <w:r>
        <w:br w:type="page"/>
      </w:r>
    </w:p>
    <w:p w14:paraId="4A11F233" w14:textId="794A3D79" w:rsidR="00030459" w:rsidRDefault="00CC7E51" w:rsidP="00183944">
      <w:pPr>
        <w:pStyle w:val="Overskrift1"/>
      </w:pPr>
      <w:bookmarkStart w:id="14" w:name="_Toc198122300"/>
      <w:bookmarkStart w:id="15" w:name="_Toc198122320"/>
      <w:bookmarkStart w:id="16" w:name="_Toc198552625"/>
      <w:bookmarkEnd w:id="14"/>
      <w:bookmarkEnd w:id="15"/>
      <w:r>
        <w:lastRenderedPageBreak/>
        <w:t>Arbejdsmiljø</w:t>
      </w:r>
      <w:bookmarkEnd w:id="16"/>
    </w:p>
    <w:p w14:paraId="6AFE8B87" w14:textId="77777777" w:rsidR="00CC7E51" w:rsidRPr="00030459" w:rsidRDefault="00CC7E51" w:rsidP="00BC7E05">
      <w:pPr>
        <w:pStyle w:val="Ingenafstand"/>
        <w:spacing w:line="259" w:lineRule="auto"/>
        <w:jc w:val="both"/>
      </w:pPr>
    </w:p>
    <w:p w14:paraId="2C55B1EF" w14:textId="402C8A99" w:rsidR="00555929" w:rsidRPr="0076224E" w:rsidRDefault="006E7D45" w:rsidP="00BC7E05">
      <w:pPr>
        <w:jc w:val="both"/>
        <w:rPr>
          <w:rFonts w:cs="Arial"/>
          <w:color w:val="1E1E1E"/>
          <w:shd w:val="clear" w:color="auto" w:fill="FEFEFE"/>
        </w:rPr>
      </w:pPr>
      <w:r w:rsidRPr="0076224E">
        <w:rPr>
          <w:rFonts w:cs="Arial"/>
          <w:color w:val="1E1E1E"/>
          <w:shd w:val="clear" w:color="auto" w:fill="FEFEFE"/>
        </w:rPr>
        <w:t>I forbindelse med nedrivningsarbejde, gælder der særlige regler for rådgiveres og projekterendes pligter og ansvar.</w:t>
      </w:r>
    </w:p>
    <w:p w14:paraId="36E44D80" w14:textId="77777777" w:rsidR="006E7D45" w:rsidRPr="0076224E" w:rsidRDefault="006E7D45" w:rsidP="00BC7E05">
      <w:pPr>
        <w:jc w:val="both"/>
        <w:rPr>
          <w:rFonts w:cs="Arial"/>
          <w:color w:val="1E1E1E"/>
          <w:shd w:val="clear" w:color="auto" w:fill="FEFEFE"/>
        </w:rPr>
      </w:pPr>
    </w:p>
    <w:p w14:paraId="560E55D8" w14:textId="07CDED3F" w:rsidR="00555929" w:rsidRPr="0076224E" w:rsidRDefault="00555929" w:rsidP="00BC7E05">
      <w:pPr>
        <w:jc w:val="both"/>
        <w:rPr>
          <w:rFonts w:cs="Arial"/>
          <w:color w:val="1E1E1E"/>
          <w:shd w:val="clear" w:color="auto" w:fill="FEFEFE"/>
        </w:rPr>
      </w:pPr>
      <w:r w:rsidRPr="0076224E">
        <w:rPr>
          <w:rFonts w:cs="Arial"/>
          <w:color w:val="1E1E1E"/>
          <w:shd w:val="clear" w:color="auto" w:fill="FEFEFE"/>
        </w:rPr>
        <w:t>Ved selektiv nedrivning skal der være et særligt fokus på arbejdsmiljø og sikkerhed</w:t>
      </w:r>
      <w:r w:rsidR="00C46700" w:rsidRPr="0076224E">
        <w:rPr>
          <w:rFonts w:cs="Arial"/>
          <w:color w:val="1E1E1E"/>
          <w:shd w:val="clear" w:color="auto" w:fill="FEFEFE"/>
        </w:rPr>
        <w:t>,</w:t>
      </w:r>
      <w:r w:rsidRPr="0076224E">
        <w:rPr>
          <w:rFonts w:cs="Arial"/>
          <w:color w:val="1E1E1E"/>
          <w:shd w:val="clear" w:color="auto" w:fill="FEFEFE"/>
        </w:rPr>
        <w:t xml:space="preserve"> </w:t>
      </w:r>
      <w:r w:rsidR="00C74AEB" w:rsidRPr="0076224E">
        <w:rPr>
          <w:rFonts w:cs="Arial"/>
          <w:color w:val="1E1E1E"/>
          <w:shd w:val="clear" w:color="auto" w:fill="FEFEFE"/>
        </w:rPr>
        <w:t>da mere</w:t>
      </w:r>
      <w:r w:rsidRPr="0076224E">
        <w:rPr>
          <w:rFonts w:cs="Arial"/>
          <w:color w:val="1E1E1E"/>
          <w:shd w:val="clear" w:color="auto" w:fill="FEFEFE"/>
        </w:rPr>
        <w:t xml:space="preserve"> arbejde udføres manuelt.</w:t>
      </w:r>
    </w:p>
    <w:p w14:paraId="6764183F" w14:textId="77777777" w:rsidR="006E7D45" w:rsidRPr="0076224E" w:rsidRDefault="006E7D45" w:rsidP="00BC7E05">
      <w:pPr>
        <w:shd w:val="clear" w:color="auto" w:fill="FEFEFE"/>
        <w:spacing w:before="100" w:beforeAutospacing="1" w:after="100" w:afterAutospacing="1" w:line="240" w:lineRule="auto"/>
        <w:jc w:val="both"/>
        <w:rPr>
          <w:rFonts w:eastAsia="Times New Roman" w:cs="Arial"/>
          <w:color w:val="1E1E1E"/>
          <w:kern w:val="0"/>
          <w:lang w:eastAsia="da-DK"/>
          <w14:ligatures w14:val="none"/>
        </w:rPr>
      </w:pPr>
      <w:r w:rsidRPr="0076224E">
        <w:rPr>
          <w:rFonts w:eastAsia="Times New Roman" w:cs="Arial"/>
          <w:color w:val="1E1E1E"/>
          <w:kern w:val="0"/>
          <w:lang w:eastAsia="da-DK"/>
          <w14:ligatures w14:val="none"/>
        </w:rPr>
        <w:t>I forbindelse med planlægningen af sikkerhedsarbejdet og valg af sikkerhedsforanstaltninger ved nedrivningen skal der som udgangspunkt vælges de samme sikkerhedsforanstaltninger som ved opførelsen af en bygning.</w:t>
      </w:r>
    </w:p>
    <w:p w14:paraId="06030DE5" w14:textId="5C4BB4C0" w:rsidR="006E7D45" w:rsidRPr="0076224E" w:rsidRDefault="006E7D45" w:rsidP="00BC7E05">
      <w:pPr>
        <w:shd w:val="clear" w:color="auto" w:fill="FEFEFE"/>
        <w:spacing w:before="100" w:beforeAutospacing="1" w:after="100" w:afterAutospacing="1" w:line="240" w:lineRule="auto"/>
        <w:jc w:val="both"/>
        <w:rPr>
          <w:rFonts w:eastAsia="Times New Roman" w:cs="Arial"/>
          <w:color w:val="1E1E1E"/>
          <w:kern w:val="0"/>
          <w:lang w:eastAsia="da-DK"/>
          <w14:ligatures w14:val="none"/>
        </w:rPr>
      </w:pPr>
      <w:r w:rsidRPr="0076224E">
        <w:rPr>
          <w:rFonts w:eastAsia="Times New Roman" w:cs="Arial"/>
          <w:color w:val="1E1E1E"/>
          <w:kern w:val="0"/>
          <w:lang w:eastAsia="da-DK"/>
          <w14:ligatures w14:val="none"/>
        </w:rPr>
        <w:t>I forbindelse med planlægningen skal følgende undersøges</w:t>
      </w:r>
      <w:r w:rsidR="000F57C9" w:rsidRPr="0076224E">
        <w:rPr>
          <w:rFonts w:eastAsia="Times New Roman" w:cs="Arial"/>
          <w:color w:val="1E1E1E"/>
          <w:kern w:val="0"/>
          <w:lang w:eastAsia="da-DK"/>
          <w14:ligatures w14:val="none"/>
        </w:rPr>
        <w:t xml:space="preserve"> jf. Arbejdstilsynet</w:t>
      </w:r>
      <w:r w:rsidR="00555929" w:rsidRPr="0076224E">
        <w:rPr>
          <w:rStyle w:val="Fodnotehenvisning"/>
          <w:rFonts w:eastAsia="Times New Roman" w:cs="Arial"/>
          <w:color w:val="1E1E1E"/>
          <w:kern w:val="0"/>
          <w:lang w:eastAsia="da-DK"/>
          <w14:ligatures w14:val="none"/>
        </w:rPr>
        <w:footnoteReference w:id="2"/>
      </w:r>
      <w:r w:rsidRPr="0076224E">
        <w:rPr>
          <w:rFonts w:eastAsia="Times New Roman" w:cs="Arial"/>
          <w:color w:val="1E1E1E"/>
          <w:kern w:val="0"/>
          <w:lang w:eastAsia="da-DK"/>
          <w14:ligatures w14:val="none"/>
        </w:rPr>
        <w:t>:</w:t>
      </w:r>
    </w:p>
    <w:p w14:paraId="3E38B7F9" w14:textId="29B78AED" w:rsidR="006E7D45" w:rsidRPr="0076224E" w:rsidRDefault="006E7D45" w:rsidP="00BC7E05">
      <w:pPr>
        <w:numPr>
          <w:ilvl w:val="0"/>
          <w:numId w:val="9"/>
        </w:numPr>
        <w:shd w:val="clear" w:color="auto" w:fill="FEFEFE"/>
        <w:spacing w:before="100" w:beforeAutospacing="1" w:after="100" w:afterAutospacing="1" w:line="240" w:lineRule="auto"/>
        <w:jc w:val="both"/>
        <w:rPr>
          <w:rFonts w:eastAsia="Times New Roman" w:cs="Arial"/>
          <w:i/>
          <w:color w:val="1E1E1E"/>
          <w:kern w:val="0"/>
          <w:lang w:eastAsia="da-DK"/>
          <w14:ligatures w14:val="none"/>
        </w:rPr>
      </w:pPr>
      <w:r w:rsidRPr="0076224E">
        <w:rPr>
          <w:rFonts w:eastAsia="Times New Roman" w:cs="Arial"/>
          <w:i/>
          <w:color w:val="1E1E1E"/>
          <w:kern w:val="0"/>
          <w:lang w:eastAsia="da-DK"/>
          <w14:ligatures w14:val="none"/>
        </w:rPr>
        <w:t xml:space="preserve">om der i bygningen eller konstruktionen findes eventuelle sundhedsskadelige materialer, konstruktioner eller emner, fx asbest, </w:t>
      </w:r>
      <w:r w:rsidR="00BE3BAE" w:rsidRPr="0076224E">
        <w:rPr>
          <w:rFonts w:eastAsia="Times New Roman" w:cs="Arial"/>
          <w:i/>
          <w:color w:val="1E1E1E"/>
          <w:kern w:val="0"/>
          <w:lang w:eastAsia="da-DK"/>
          <w14:ligatures w14:val="none"/>
        </w:rPr>
        <w:t>risikoaffald</w:t>
      </w:r>
      <w:r w:rsidRPr="0076224E">
        <w:rPr>
          <w:rFonts w:eastAsia="Times New Roman" w:cs="Arial"/>
          <w:i/>
          <w:color w:val="1E1E1E"/>
          <w:kern w:val="0"/>
          <w:lang w:eastAsia="da-DK"/>
          <w14:ligatures w14:val="none"/>
        </w:rPr>
        <w:t>, batterier eller fækalier (afføring) fra mennesker og dyr,</w:t>
      </w:r>
    </w:p>
    <w:p w14:paraId="20F6A4A0" w14:textId="77777777" w:rsidR="006E7D45" w:rsidRPr="0076224E" w:rsidRDefault="006E7D45" w:rsidP="00BC7E05">
      <w:pPr>
        <w:numPr>
          <w:ilvl w:val="0"/>
          <w:numId w:val="9"/>
        </w:numPr>
        <w:shd w:val="clear" w:color="auto" w:fill="FEFEFE"/>
        <w:spacing w:before="100" w:beforeAutospacing="1" w:after="100" w:afterAutospacing="1" w:line="240" w:lineRule="auto"/>
        <w:jc w:val="both"/>
        <w:rPr>
          <w:rFonts w:eastAsia="Times New Roman" w:cs="Arial"/>
          <w:i/>
          <w:color w:val="1E1E1E"/>
          <w:kern w:val="0"/>
          <w:lang w:eastAsia="da-DK"/>
          <w14:ligatures w14:val="none"/>
        </w:rPr>
      </w:pPr>
      <w:r w:rsidRPr="0076224E">
        <w:rPr>
          <w:rFonts w:eastAsia="Times New Roman" w:cs="Arial"/>
          <w:i/>
          <w:color w:val="1E1E1E"/>
          <w:kern w:val="0"/>
          <w:lang w:eastAsia="da-DK"/>
          <w14:ligatures w14:val="none"/>
        </w:rPr>
        <w:t>om bygningen eller konstruktionen står på et underlag, der kan være forurenet,</w:t>
      </w:r>
    </w:p>
    <w:p w14:paraId="31164772" w14:textId="015975C0" w:rsidR="006E7D45" w:rsidRPr="0076224E" w:rsidRDefault="006E7D45" w:rsidP="00BC7E05">
      <w:pPr>
        <w:numPr>
          <w:ilvl w:val="0"/>
          <w:numId w:val="9"/>
        </w:numPr>
        <w:shd w:val="clear" w:color="auto" w:fill="FEFEFE"/>
        <w:spacing w:before="100" w:beforeAutospacing="1" w:after="100" w:afterAutospacing="1" w:line="240" w:lineRule="auto"/>
        <w:jc w:val="both"/>
        <w:rPr>
          <w:rFonts w:eastAsia="Times New Roman" w:cs="Arial"/>
          <w:i/>
          <w:color w:val="1E1E1E"/>
          <w:kern w:val="0"/>
          <w:lang w:eastAsia="da-DK"/>
          <w14:ligatures w14:val="none"/>
        </w:rPr>
      </w:pPr>
      <w:r w:rsidRPr="0076224E">
        <w:rPr>
          <w:rFonts w:eastAsia="Times New Roman" w:cs="Arial"/>
          <w:i/>
          <w:color w:val="1E1E1E"/>
          <w:kern w:val="0"/>
          <w:lang w:eastAsia="da-DK"/>
          <w14:ligatures w14:val="none"/>
        </w:rPr>
        <w:t xml:space="preserve">om bygningen eller konstruktionen i forbindelse med selektiv nedrivning kan </w:t>
      </w:r>
      <w:r w:rsidR="00C74AEB" w:rsidRPr="0076224E">
        <w:rPr>
          <w:rFonts w:eastAsia="Times New Roman" w:cs="Arial"/>
          <w:i/>
          <w:color w:val="1E1E1E"/>
          <w:kern w:val="0"/>
          <w:lang w:eastAsia="da-DK"/>
          <w14:ligatures w14:val="none"/>
        </w:rPr>
        <w:t>fortsætte med</w:t>
      </w:r>
      <w:r w:rsidRPr="0076224E">
        <w:rPr>
          <w:rFonts w:eastAsia="Times New Roman" w:cs="Arial"/>
          <w:i/>
          <w:color w:val="1E1E1E"/>
          <w:kern w:val="0"/>
          <w:lang w:eastAsia="da-DK"/>
          <w14:ligatures w14:val="none"/>
        </w:rPr>
        <w:t xml:space="preserve"> at være stabil,</w:t>
      </w:r>
    </w:p>
    <w:p w14:paraId="3EBFB888" w14:textId="77777777" w:rsidR="006E7D45" w:rsidRPr="0076224E" w:rsidRDefault="006E7D45" w:rsidP="00BC7E05">
      <w:pPr>
        <w:numPr>
          <w:ilvl w:val="0"/>
          <w:numId w:val="9"/>
        </w:numPr>
        <w:shd w:val="clear" w:color="auto" w:fill="FEFEFE"/>
        <w:spacing w:before="100" w:beforeAutospacing="1" w:after="100" w:afterAutospacing="1" w:line="240" w:lineRule="auto"/>
        <w:jc w:val="both"/>
        <w:rPr>
          <w:rFonts w:eastAsia="Times New Roman" w:cs="Arial"/>
          <w:i/>
          <w:color w:val="1E1E1E"/>
          <w:kern w:val="0"/>
          <w:lang w:eastAsia="da-DK"/>
          <w14:ligatures w14:val="none"/>
        </w:rPr>
      </w:pPr>
      <w:r w:rsidRPr="0076224E">
        <w:rPr>
          <w:rFonts w:eastAsia="Times New Roman" w:cs="Arial"/>
          <w:i/>
          <w:color w:val="1E1E1E"/>
          <w:kern w:val="0"/>
          <w:lang w:eastAsia="da-DK"/>
          <w14:ligatures w14:val="none"/>
        </w:rPr>
        <w:t>om der i forbindelse med nedrivningen skal tages særlige hensyn til omgivelserne, fx ved vibrationer, støj eller støv,</w:t>
      </w:r>
    </w:p>
    <w:p w14:paraId="5C170442" w14:textId="77777777" w:rsidR="006E7D45" w:rsidRPr="0076224E" w:rsidRDefault="006E7D45" w:rsidP="00BC7E05">
      <w:pPr>
        <w:numPr>
          <w:ilvl w:val="0"/>
          <w:numId w:val="9"/>
        </w:numPr>
        <w:shd w:val="clear" w:color="auto" w:fill="FEFEFE"/>
        <w:spacing w:before="100" w:beforeAutospacing="1" w:after="100" w:afterAutospacing="1" w:line="240" w:lineRule="auto"/>
        <w:jc w:val="both"/>
        <w:rPr>
          <w:rFonts w:eastAsia="Times New Roman" w:cs="Arial"/>
          <w:i/>
          <w:color w:val="1E1E1E"/>
          <w:kern w:val="0"/>
          <w:lang w:eastAsia="da-DK"/>
          <w14:ligatures w14:val="none"/>
        </w:rPr>
      </w:pPr>
      <w:r w:rsidRPr="0076224E">
        <w:rPr>
          <w:rFonts w:eastAsia="Times New Roman" w:cs="Arial"/>
          <w:i/>
          <w:color w:val="1E1E1E"/>
          <w:kern w:val="0"/>
          <w:lang w:eastAsia="da-DK"/>
          <w14:ligatures w14:val="none"/>
        </w:rPr>
        <w:t>om der i bygningen eller konstruktionen findes installationer, fx el, gas, vand eller andet, der kræver en særlig behandling,</w:t>
      </w:r>
    </w:p>
    <w:p w14:paraId="7A0B436C" w14:textId="77777777" w:rsidR="006E7D45" w:rsidRPr="0076224E" w:rsidRDefault="006E7D45" w:rsidP="00BC7E05">
      <w:pPr>
        <w:numPr>
          <w:ilvl w:val="0"/>
          <w:numId w:val="9"/>
        </w:numPr>
        <w:shd w:val="clear" w:color="auto" w:fill="FEFEFE"/>
        <w:spacing w:before="100" w:beforeAutospacing="1" w:after="100" w:afterAutospacing="1" w:line="240" w:lineRule="auto"/>
        <w:jc w:val="both"/>
        <w:rPr>
          <w:rFonts w:eastAsia="Times New Roman" w:cs="Arial"/>
          <w:i/>
          <w:color w:val="1E1E1E"/>
          <w:kern w:val="0"/>
          <w:lang w:eastAsia="da-DK"/>
          <w14:ligatures w14:val="none"/>
        </w:rPr>
      </w:pPr>
      <w:r w:rsidRPr="0076224E">
        <w:rPr>
          <w:rFonts w:eastAsia="Times New Roman" w:cs="Arial"/>
          <w:i/>
          <w:color w:val="1E1E1E"/>
          <w:kern w:val="0"/>
          <w:lang w:eastAsia="da-DK"/>
          <w14:ligatures w14:val="none"/>
        </w:rPr>
        <w:t>om arbejdet kan udføres på en anden og mindre arbejdsmiljøbelastende måde, fx sprængning eller skæring, frem for hugning,</w:t>
      </w:r>
    </w:p>
    <w:p w14:paraId="1D267235" w14:textId="77777777" w:rsidR="006E7D45" w:rsidRPr="0076224E" w:rsidRDefault="006E7D45" w:rsidP="00BC7E05">
      <w:pPr>
        <w:numPr>
          <w:ilvl w:val="0"/>
          <w:numId w:val="9"/>
        </w:numPr>
        <w:shd w:val="clear" w:color="auto" w:fill="FEFEFE"/>
        <w:spacing w:before="100" w:beforeAutospacing="1" w:after="100" w:afterAutospacing="1" w:line="240" w:lineRule="auto"/>
        <w:jc w:val="both"/>
        <w:rPr>
          <w:rFonts w:eastAsia="Times New Roman" w:cs="Arial"/>
          <w:i/>
          <w:color w:val="1E1E1E"/>
          <w:kern w:val="0"/>
          <w:lang w:eastAsia="da-DK"/>
          <w14:ligatures w14:val="none"/>
        </w:rPr>
      </w:pPr>
      <w:r w:rsidRPr="0076224E">
        <w:rPr>
          <w:rFonts w:eastAsia="Times New Roman" w:cs="Arial"/>
          <w:i/>
          <w:color w:val="1E1E1E"/>
          <w:kern w:val="0"/>
          <w:lang w:eastAsia="da-DK"/>
          <w14:ligatures w14:val="none"/>
        </w:rPr>
        <w:t>om isoleringsgranulatet skal fjernes inden nedrivningen påbegyndes, så unødig støvbelastning undgås,</w:t>
      </w:r>
    </w:p>
    <w:p w14:paraId="51112BDC" w14:textId="41BCD39D" w:rsidR="00F24B6A" w:rsidRPr="0076224E" w:rsidRDefault="006E7D45" w:rsidP="00BC7E05">
      <w:pPr>
        <w:numPr>
          <w:ilvl w:val="0"/>
          <w:numId w:val="9"/>
        </w:numPr>
        <w:shd w:val="clear" w:color="auto" w:fill="FEFEFE"/>
        <w:spacing w:before="100" w:beforeAutospacing="1" w:after="100" w:afterAutospacing="1" w:line="240" w:lineRule="auto"/>
        <w:jc w:val="both"/>
        <w:rPr>
          <w:rFonts w:eastAsia="Times New Roman" w:cs="Arial"/>
          <w:i/>
          <w:color w:val="1E1E1E"/>
          <w:kern w:val="0"/>
          <w:lang w:eastAsia="da-DK"/>
          <w14:ligatures w14:val="none"/>
        </w:rPr>
      </w:pPr>
      <w:r w:rsidRPr="0076224E">
        <w:rPr>
          <w:rFonts w:eastAsia="Times New Roman" w:cs="Arial"/>
          <w:i/>
          <w:color w:val="1E1E1E"/>
          <w:kern w:val="0"/>
          <w:lang w:eastAsia="da-DK"/>
          <w14:ligatures w14:val="none"/>
        </w:rPr>
        <w:t>om der i konstruktionen er forspændt beton med wirer</w:t>
      </w:r>
    </w:p>
    <w:p w14:paraId="077BD86A" w14:textId="77777777" w:rsidR="00CC7E51" w:rsidRDefault="00CC7E51" w:rsidP="00BC7E05">
      <w:pPr>
        <w:shd w:val="clear" w:color="auto" w:fill="FEFEFE"/>
        <w:spacing w:before="100" w:beforeAutospacing="1" w:after="100" w:afterAutospacing="1" w:line="240" w:lineRule="auto"/>
        <w:ind w:left="720"/>
        <w:jc w:val="both"/>
      </w:pPr>
    </w:p>
    <w:p w14:paraId="1188C4E5" w14:textId="524791AB" w:rsidR="007A7E9C" w:rsidRDefault="00CC7E51" w:rsidP="00BC7E05">
      <w:pPr>
        <w:pStyle w:val="Overskrift2"/>
        <w:jc w:val="both"/>
      </w:pPr>
      <w:bookmarkStart w:id="17" w:name="_Toc198552626"/>
      <w:r>
        <w:t>5.</w:t>
      </w:r>
      <w:r w:rsidR="00522721">
        <w:t>1</w:t>
      </w:r>
      <w:r w:rsidR="00076B8D">
        <w:t xml:space="preserve">. </w:t>
      </w:r>
      <w:r w:rsidR="007A7E9C" w:rsidRPr="00B112CC">
        <w:rPr>
          <w:rStyle w:val="Overskrift2Tegn"/>
        </w:rPr>
        <w:t>Særligt farligt arbejde</w:t>
      </w:r>
      <w:bookmarkEnd w:id="17"/>
    </w:p>
    <w:p w14:paraId="01B6DFB1" w14:textId="77777777" w:rsidR="00C74AEB" w:rsidRDefault="00C74AEB" w:rsidP="00BC7E05">
      <w:pPr>
        <w:jc w:val="both"/>
        <w:rPr>
          <w:rFonts w:ascii="Roboto" w:hAnsi="Roboto"/>
          <w:color w:val="333333"/>
          <w:shd w:val="clear" w:color="auto" w:fill="FFFFFF"/>
        </w:rPr>
      </w:pPr>
    </w:p>
    <w:p w14:paraId="64173CCF" w14:textId="4E14741A" w:rsidR="00046DE7" w:rsidRPr="00244703" w:rsidRDefault="006E7D45" w:rsidP="00BC7E05">
      <w:pPr>
        <w:jc w:val="both"/>
        <w:rPr>
          <w:color w:val="333333"/>
          <w:shd w:val="clear" w:color="auto" w:fill="FFFFFF"/>
        </w:rPr>
      </w:pPr>
      <w:r w:rsidRPr="00244703">
        <w:rPr>
          <w:color w:val="333333"/>
          <w:shd w:val="clear" w:color="auto" w:fill="FFFFFF"/>
        </w:rPr>
        <w:t>I mange tilfælde vil nedrivning af bygninger eller større delnedrivninger være at betragte som særligt farligt arbejde. Det indebærer, at bygherren skal udarbejde en Plan for Sikkerhed og Sundhed for dette arbejde.</w:t>
      </w:r>
    </w:p>
    <w:p w14:paraId="76FCCF00" w14:textId="77777777" w:rsidR="00C74AEB" w:rsidRPr="00046DE7" w:rsidRDefault="00C74AEB" w:rsidP="00BC7E05">
      <w:pPr>
        <w:jc w:val="both"/>
      </w:pPr>
    </w:p>
    <w:p w14:paraId="6B734803" w14:textId="65BA730E" w:rsidR="007A7E9C" w:rsidRDefault="001C4804" w:rsidP="00BC7E05">
      <w:pPr>
        <w:pStyle w:val="Overskrift2"/>
        <w:jc w:val="both"/>
      </w:pPr>
      <w:bookmarkStart w:id="18" w:name="_Toc198552627"/>
      <w:r>
        <w:t xml:space="preserve">5.2. </w:t>
      </w:r>
      <w:r w:rsidR="007A7E9C">
        <w:t>Byggepladsens indretning</w:t>
      </w:r>
      <w:bookmarkEnd w:id="18"/>
    </w:p>
    <w:p w14:paraId="7759597C" w14:textId="77777777" w:rsidR="00B7625C" w:rsidRPr="00B7625C" w:rsidRDefault="00B7625C" w:rsidP="00BC7E05">
      <w:pPr>
        <w:jc w:val="both"/>
      </w:pPr>
    </w:p>
    <w:p w14:paraId="09675B23" w14:textId="1F1A6ABC" w:rsidR="00046DE7" w:rsidRPr="00FB0029" w:rsidRDefault="00E74A4B" w:rsidP="00BC7E05">
      <w:pPr>
        <w:jc w:val="both"/>
        <w:rPr>
          <w:color w:val="333333"/>
          <w:shd w:val="clear" w:color="auto" w:fill="FFFFFF"/>
        </w:rPr>
      </w:pPr>
      <w:r w:rsidRPr="00FB0029">
        <w:rPr>
          <w:color w:val="333333"/>
          <w:shd w:val="clear" w:color="auto" w:fill="FFFFFF"/>
        </w:rPr>
        <w:t>Selektiv nedrivning kræver tilstrækkelig plads til fx sortering af materialer, oplagring af materialer og affaldssortering. Byggepladsplanen, der er indehold</w:t>
      </w:r>
      <w:r w:rsidR="00D86D2B" w:rsidRPr="00FB0029">
        <w:rPr>
          <w:color w:val="333333"/>
          <w:shd w:val="clear" w:color="auto" w:fill="FFFFFF"/>
        </w:rPr>
        <w:t>t</w:t>
      </w:r>
      <w:r w:rsidRPr="00FB0029">
        <w:rPr>
          <w:color w:val="333333"/>
          <w:shd w:val="clear" w:color="auto" w:fill="FFFFFF"/>
        </w:rPr>
        <w:t xml:space="preserve"> i P</w:t>
      </w:r>
      <w:r w:rsidR="00D86D2B" w:rsidRPr="00FB0029">
        <w:rPr>
          <w:color w:val="333333"/>
          <w:shd w:val="clear" w:color="auto" w:fill="FFFFFF"/>
        </w:rPr>
        <w:t>lan for Sikkerhed og Sundhed</w:t>
      </w:r>
      <w:r w:rsidRPr="00FB0029">
        <w:rPr>
          <w:color w:val="333333"/>
          <w:shd w:val="clear" w:color="auto" w:fill="FFFFFF"/>
        </w:rPr>
        <w:t>, skal tage højde for dette.</w:t>
      </w:r>
      <w:r w:rsidR="00006901">
        <w:rPr>
          <w:color w:val="333333"/>
          <w:shd w:val="clear" w:color="auto" w:fill="FFFFFF"/>
        </w:rPr>
        <w:t xml:space="preserve"> </w:t>
      </w:r>
      <w:r w:rsidRPr="00FB0029">
        <w:rPr>
          <w:color w:val="333333"/>
          <w:shd w:val="clear" w:color="auto" w:fill="FFFFFF"/>
        </w:rPr>
        <w:t xml:space="preserve">På samme vis skal byggepladsen indrettes </w:t>
      </w:r>
      <w:r w:rsidR="00D86D2B" w:rsidRPr="00FB0029">
        <w:rPr>
          <w:color w:val="333333"/>
          <w:shd w:val="clear" w:color="auto" w:fill="FFFFFF"/>
        </w:rPr>
        <w:t>s</w:t>
      </w:r>
      <w:r w:rsidRPr="00FB0029">
        <w:rPr>
          <w:color w:val="333333"/>
          <w:shd w:val="clear" w:color="auto" w:fill="FFFFFF"/>
        </w:rPr>
        <w:t>å gener ved støj</w:t>
      </w:r>
      <w:r w:rsidR="00244703" w:rsidRPr="00FB0029">
        <w:rPr>
          <w:color w:val="333333"/>
          <w:shd w:val="clear" w:color="auto" w:fill="FFFFFF"/>
        </w:rPr>
        <w:t>, støv</w:t>
      </w:r>
      <w:r w:rsidR="0074716A" w:rsidRPr="00FB0029">
        <w:rPr>
          <w:color w:val="333333"/>
          <w:shd w:val="clear" w:color="auto" w:fill="FFFFFF"/>
        </w:rPr>
        <w:t xml:space="preserve"> </w:t>
      </w:r>
      <w:r w:rsidRPr="00FB0029">
        <w:rPr>
          <w:color w:val="333333"/>
          <w:shd w:val="clear" w:color="auto" w:fill="FFFFFF"/>
        </w:rPr>
        <w:t xml:space="preserve">og tunge løft kan forebygges. </w:t>
      </w:r>
    </w:p>
    <w:p w14:paraId="65035678" w14:textId="07C9CE03" w:rsidR="001D35F4" w:rsidRDefault="001D35F4" w:rsidP="00BC7E05">
      <w:pPr>
        <w:pStyle w:val="Listeafsnit"/>
        <w:numPr>
          <w:ilvl w:val="0"/>
          <w:numId w:val="1"/>
        </w:numPr>
        <w:jc w:val="both"/>
      </w:pPr>
      <w:r>
        <w:br w:type="page"/>
      </w:r>
    </w:p>
    <w:p w14:paraId="431CFE9A" w14:textId="4B80A1FB" w:rsidR="00A776BB" w:rsidRDefault="00046DE7" w:rsidP="00183944">
      <w:pPr>
        <w:pStyle w:val="Overskrift1"/>
        <w:numPr>
          <w:ilvl w:val="0"/>
          <w:numId w:val="24"/>
        </w:numPr>
      </w:pPr>
      <w:bookmarkStart w:id="19" w:name="_Toc198552628"/>
      <w:r>
        <w:lastRenderedPageBreak/>
        <w:t>Bilagsliste</w:t>
      </w:r>
      <w:bookmarkEnd w:id="19"/>
    </w:p>
    <w:p w14:paraId="4ED8CC05" w14:textId="77777777" w:rsidR="00046DE7" w:rsidRDefault="00046DE7" w:rsidP="00BC7E05">
      <w:pPr>
        <w:jc w:val="both"/>
      </w:pPr>
    </w:p>
    <w:p w14:paraId="5AAFE45B" w14:textId="3853418D" w:rsidR="00046DE7" w:rsidRDefault="00046DE7" w:rsidP="00BC7E05">
      <w:pPr>
        <w:pStyle w:val="Listeafsnit"/>
        <w:numPr>
          <w:ilvl w:val="0"/>
          <w:numId w:val="8"/>
        </w:numPr>
        <w:jc w:val="both"/>
      </w:pPr>
      <w:r>
        <w:t>Fremgangsmåde ved selektiv nedrivning</w:t>
      </w:r>
    </w:p>
    <w:p w14:paraId="2D6F78BE" w14:textId="28D8255C" w:rsidR="00046DE7" w:rsidRDefault="00046DE7" w:rsidP="00BC7E05">
      <w:pPr>
        <w:pStyle w:val="Listeafsnit"/>
        <w:numPr>
          <w:ilvl w:val="0"/>
          <w:numId w:val="8"/>
        </w:numPr>
        <w:jc w:val="both"/>
      </w:pPr>
      <w:r>
        <w:t>Standardiseret nedrivningsplan</w:t>
      </w:r>
    </w:p>
    <w:p w14:paraId="3593381F" w14:textId="3EE68B72" w:rsidR="00382AEE" w:rsidRDefault="00382AEE" w:rsidP="00BC7E05">
      <w:pPr>
        <w:pStyle w:val="Listeafsnit"/>
        <w:numPr>
          <w:ilvl w:val="0"/>
          <w:numId w:val="8"/>
        </w:numPr>
        <w:jc w:val="both"/>
      </w:pPr>
      <w:r>
        <w:t>Proces</w:t>
      </w:r>
      <w:r w:rsidR="00A20C62">
        <w:t>diagram</w:t>
      </w:r>
      <w:r>
        <w:t xml:space="preserve"> for selektiv nedrivning</w:t>
      </w:r>
    </w:p>
    <w:p w14:paraId="589F78FC" w14:textId="77777777" w:rsidR="00AC65E8" w:rsidRDefault="00AC65E8" w:rsidP="00BC7E05">
      <w:pPr>
        <w:pStyle w:val="Listeafsnit"/>
        <w:numPr>
          <w:ilvl w:val="0"/>
          <w:numId w:val="8"/>
        </w:numPr>
        <w:jc w:val="both"/>
      </w:pPr>
      <w:r>
        <w:t>Oversigtstegning med tydelig angivelse af entreprisegrænse</w:t>
      </w:r>
    </w:p>
    <w:p w14:paraId="2483E7FA" w14:textId="7E3E7F39" w:rsidR="00046DE7" w:rsidRDefault="00046DE7" w:rsidP="00BC7E05">
      <w:pPr>
        <w:pStyle w:val="Listeafsnit"/>
        <w:numPr>
          <w:ilvl w:val="0"/>
          <w:numId w:val="8"/>
        </w:numPr>
        <w:jc w:val="both"/>
      </w:pPr>
      <w:r>
        <w:t>Skema for ressource og affalds</w:t>
      </w:r>
      <w:r w:rsidR="004B436A">
        <w:t>fraktioner</w:t>
      </w:r>
    </w:p>
    <w:p w14:paraId="78F18D7D" w14:textId="32C63F0E" w:rsidR="002529CB" w:rsidRPr="00046DE7" w:rsidRDefault="002529CB" w:rsidP="00BC7E05">
      <w:pPr>
        <w:pStyle w:val="Listeafsnit"/>
        <w:numPr>
          <w:ilvl w:val="0"/>
          <w:numId w:val="8"/>
        </w:numPr>
        <w:jc w:val="both"/>
      </w:pPr>
      <w:r>
        <w:t>Materialepas</w:t>
      </w:r>
    </w:p>
    <w:p w14:paraId="6DA494F1" w14:textId="4F1BF8B6" w:rsidR="005F222D" w:rsidRDefault="005F222D" w:rsidP="00BC7E05">
      <w:pPr>
        <w:jc w:val="both"/>
      </w:pPr>
    </w:p>
    <w:p w14:paraId="50DC4448" w14:textId="77777777" w:rsidR="00B26023" w:rsidRDefault="00B26023" w:rsidP="00BC7E05">
      <w:pPr>
        <w:jc w:val="both"/>
      </w:pPr>
    </w:p>
    <w:p w14:paraId="2AD8E667" w14:textId="77777777" w:rsidR="00B26023" w:rsidRDefault="00B26023" w:rsidP="00BC7E05">
      <w:pPr>
        <w:jc w:val="both"/>
      </w:pPr>
    </w:p>
    <w:p w14:paraId="0494A805" w14:textId="77777777" w:rsidR="00B26023" w:rsidRDefault="00B26023" w:rsidP="00BC7E05">
      <w:pPr>
        <w:jc w:val="both"/>
      </w:pPr>
    </w:p>
    <w:p w14:paraId="7E9091AC" w14:textId="77777777" w:rsidR="00B26023" w:rsidRDefault="00B26023" w:rsidP="00BC7E05">
      <w:pPr>
        <w:jc w:val="both"/>
      </w:pPr>
    </w:p>
    <w:p w14:paraId="03298E45" w14:textId="77777777" w:rsidR="00B26023" w:rsidRDefault="00B26023" w:rsidP="00BC7E05">
      <w:pPr>
        <w:jc w:val="both"/>
      </w:pPr>
    </w:p>
    <w:p w14:paraId="05EB3000" w14:textId="77777777" w:rsidR="00B26023" w:rsidRDefault="00B26023" w:rsidP="00BC7E05">
      <w:pPr>
        <w:jc w:val="both"/>
      </w:pPr>
    </w:p>
    <w:p w14:paraId="0FBEAD66" w14:textId="77777777" w:rsidR="00B26023" w:rsidRDefault="00B26023" w:rsidP="00BC7E05">
      <w:pPr>
        <w:jc w:val="both"/>
      </w:pPr>
    </w:p>
    <w:p w14:paraId="65EE0F85" w14:textId="77777777" w:rsidR="00B26023" w:rsidRDefault="00B26023" w:rsidP="00BC7E05">
      <w:pPr>
        <w:jc w:val="both"/>
      </w:pPr>
    </w:p>
    <w:p w14:paraId="505A202A" w14:textId="77777777" w:rsidR="00B26023" w:rsidRDefault="00B26023" w:rsidP="00BC7E05">
      <w:pPr>
        <w:jc w:val="both"/>
      </w:pPr>
    </w:p>
    <w:p w14:paraId="3210D518" w14:textId="77777777" w:rsidR="00B26023" w:rsidRDefault="00B26023" w:rsidP="00BC7E05">
      <w:pPr>
        <w:jc w:val="both"/>
      </w:pPr>
    </w:p>
    <w:p w14:paraId="755F81E2" w14:textId="77777777" w:rsidR="00B26023" w:rsidRDefault="00B26023" w:rsidP="00BC7E05">
      <w:pPr>
        <w:jc w:val="both"/>
      </w:pPr>
    </w:p>
    <w:p w14:paraId="7497F040" w14:textId="77777777" w:rsidR="00B26023" w:rsidRDefault="00B26023" w:rsidP="00BC7E05">
      <w:pPr>
        <w:jc w:val="both"/>
      </w:pPr>
    </w:p>
    <w:p w14:paraId="4DA2517F" w14:textId="77777777" w:rsidR="00B26023" w:rsidRDefault="00B26023" w:rsidP="00BC7E05">
      <w:pPr>
        <w:jc w:val="both"/>
      </w:pPr>
    </w:p>
    <w:p w14:paraId="4AF68ED5" w14:textId="77777777" w:rsidR="00B26023" w:rsidRDefault="00B26023" w:rsidP="00BC7E05">
      <w:pPr>
        <w:jc w:val="both"/>
      </w:pPr>
    </w:p>
    <w:p w14:paraId="6DBE2BFA" w14:textId="77777777" w:rsidR="006E15D2" w:rsidRDefault="006E15D2" w:rsidP="00BC7E05">
      <w:pPr>
        <w:jc w:val="both"/>
      </w:pPr>
    </w:p>
    <w:p w14:paraId="689F1196" w14:textId="77777777" w:rsidR="006E15D2" w:rsidRDefault="006E15D2" w:rsidP="00BC7E05">
      <w:pPr>
        <w:jc w:val="both"/>
      </w:pPr>
    </w:p>
    <w:p w14:paraId="1F782D3F" w14:textId="77777777" w:rsidR="006E15D2" w:rsidRDefault="006E15D2" w:rsidP="00BC7E05">
      <w:pPr>
        <w:jc w:val="both"/>
      </w:pPr>
    </w:p>
    <w:p w14:paraId="58E66A08" w14:textId="77777777" w:rsidR="006E15D2" w:rsidRDefault="006E15D2" w:rsidP="00BC7E05">
      <w:pPr>
        <w:jc w:val="both"/>
      </w:pPr>
    </w:p>
    <w:p w14:paraId="19997E52" w14:textId="77777777" w:rsidR="006E15D2" w:rsidRDefault="006E15D2" w:rsidP="00BC7E05">
      <w:pPr>
        <w:jc w:val="both"/>
      </w:pPr>
    </w:p>
    <w:p w14:paraId="7F380989" w14:textId="77777777" w:rsidR="006E15D2" w:rsidRDefault="006E15D2" w:rsidP="00BC7E05">
      <w:pPr>
        <w:jc w:val="both"/>
      </w:pPr>
    </w:p>
    <w:p w14:paraId="3B39FA7A" w14:textId="77777777" w:rsidR="006E15D2" w:rsidRDefault="006E15D2" w:rsidP="00BC7E05">
      <w:pPr>
        <w:jc w:val="both"/>
      </w:pPr>
    </w:p>
    <w:p w14:paraId="0F61149B" w14:textId="6BE13EFA" w:rsidR="00B26023" w:rsidRDefault="00B26023" w:rsidP="00BC7E05">
      <w:pPr>
        <w:jc w:val="both"/>
      </w:pPr>
      <w:r>
        <w:t>Kildehenvisning:</w:t>
      </w:r>
    </w:p>
    <w:p w14:paraId="47664C5C" w14:textId="77777777" w:rsidR="00B26023" w:rsidRDefault="00B26023" w:rsidP="00BC7E05">
      <w:pPr>
        <w:jc w:val="both"/>
      </w:pPr>
    </w:p>
    <w:p w14:paraId="4F7419BC" w14:textId="1E882833" w:rsidR="00B26023" w:rsidRPr="00244703" w:rsidRDefault="00B26023" w:rsidP="00BC7E05">
      <w:pPr>
        <w:jc w:val="both"/>
        <w:rPr>
          <w:i/>
          <w:iCs/>
        </w:rPr>
      </w:pPr>
      <w:r w:rsidRPr="00244703">
        <w:rPr>
          <w:i/>
          <w:iCs/>
        </w:rPr>
        <w:t>Vejledning om udbud af nedrivningsopgaver_Værdibyg.dk</w:t>
      </w:r>
    </w:p>
    <w:p w14:paraId="50DE774C" w14:textId="77777777" w:rsidR="00B26023" w:rsidRPr="00244703" w:rsidRDefault="00B26023" w:rsidP="00BC7E05">
      <w:pPr>
        <w:jc w:val="both"/>
        <w:rPr>
          <w:i/>
          <w:iCs/>
        </w:rPr>
      </w:pPr>
    </w:p>
    <w:p w14:paraId="15A2BD50" w14:textId="45DA294B" w:rsidR="00B26023" w:rsidRPr="00244703" w:rsidRDefault="00B26023" w:rsidP="00BC7E05">
      <w:pPr>
        <w:jc w:val="both"/>
        <w:rPr>
          <w:i/>
          <w:iCs/>
        </w:rPr>
      </w:pPr>
      <w:r w:rsidRPr="00244703">
        <w:rPr>
          <w:i/>
          <w:iCs/>
        </w:rPr>
        <w:t>Selektiv nedrivning i byggebranchen_Miljøstyrelsen</w:t>
      </w:r>
      <w:r w:rsidR="00BE4621">
        <w:rPr>
          <w:i/>
          <w:iCs/>
        </w:rPr>
        <w:t>.dk</w:t>
      </w:r>
    </w:p>
    <w:p w14:paraId="75A69CF1" w14:textId="77777777" w:rsidR="00B26023" w:rsidRPr="00244703" w:rsidRDefault="00B26023" w:rsidP="00BC7E05">
      <w:pPr>
        <w:jc w:val="both"/>
        <w:rPr>
          <w:i/>
          <w:iCs/>
        </w:rPr>
      </w:pPr>
    </w:p>
    <w:p w14:paraId="42E2C33E" w14:textId="374EB274" w:rsidR="00B26023" w:rsidRPr="00244703" w:rsidRDefault="00B26023" w:rsidP="00BC7E05">
      <w:pPr>
        <w:jc w:val="both"/>
        <w:rPr>
          <w:i/>
          <w:iCs/>
        </w:rPr>
      </w:pPr>
      <w:r w:rsidRPr="00244703">
        <w:rPr>
          <w:i/>
          <w:iCs/>
        </w:rPr>
        <w:t>Cirkulær nedrivning_Værdibyg.dk</w:t>
      </w:r>
    </w:p>
    <w:p w14:paraId="5B6ABC56" w14:textId="77777777" w:rsidR="00B26023" w:rsidRPr="00244703" w:rsidRDefault="00B26023" w:rsidP="00BC7E05">
      <w:pPr>
        <w:jc w:val="both"/>
        <w:rPr>
          <w:i/>
          <w:iCs/>
        </w:rPr>
      </w:pPr>
    </w:p>
    <w:p w14:paraId="55CF7A2D" w14:textId="2DE0CB0D" w:rsidR="00B26023" w:rsidRPr="00244703" w:rsidRDefault="00B26023" w:rsidP="00BC7E05">
      <w:pPr>
        <w:jc w:val="both"/>
        <w:rPr>
          <w:rFonts w:cstheme="minorHAnsi"/>
          <w:i/>
          <w:iCs/>
        </w:rPr>
      </w:pPr>
      <w:r w:rsidRPr="00244703">
        <w:rPr>
          <w:rFonts w:cstheme="minorHAnsi"/>
          <w:i/>
          <w:iCs/>
          <w:color w:val="000000"/>
          <w:kern w:val="0"/>
        </w:rPr>
        <w:t>Gode råd til genbrug og genanvendelse af byggematerialer_værdibyg.dk</w:t>
      </w:r>
    </w:p>
    <w:sectPr w:rsidR="00B26023" w:rsidRPr="00244703" w:rsidSect="006278BC">
      <w:headerReference w:type="even" r:id="rId14"/>
      <w:headerReference w:type="default" r:id="rId15"/>
      <w:footerReference w:type="even" r:id="rId16"/>
      <w:footerReference w:type="default" r:id="rId17"/>
      <w:headerReference w:type="first" r:id="rId18"/>
      <w:footerReference w:type="first" r:id="rId19"/>
      <w:pgSz w:w="11906" w:h="16838"/>
      <w:pgMar w:top="1701" w:right="1134" w:bottom="1701" w:left="1134" w:header="708"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7CE3C" w14:textId="77777777" w:rsidR="002323D9" w:rsidRDefault="002323D9" w:rsidP="00980B62">
      <w:pPr>
        <w:spacing w:line="240" w:lineRule="auto"/>
      </w:pPr>
      <w:r>
        <w:separator/>
      </w:r>
    </w:p>
  </w:endnote>
  <w:endnote w:type="continuationSeparator" w:id="0">
    <w:p w14:paraId="41F4A5E9" w14:textId="77777777" w:rsidR="002323D9" w:rsidRDefault="002323D9" w:rsidP="00980B62">
      <w:pPr>
        <w:spacing w:line="240" w:lineRule="auto"/>
      </w:pPr>
      <w:r>
        <w:continuationSeparator/>
      </w:r>
    </w:p>
  </w:endnote>
  <w:endnote w:type="continuationNotice" w:id="1">
    <w:p w14:paraId="14CE63D8" w14:textId="77777777" w:rsidR="002323D9" w:rsidRDefault="002323D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D930" w14:textId="77777777" w:rsidR="005C0311" w:rsidRDefault="005C031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556814"/>
      <w:docPartObj>
        <w:docPartGallery w:val="Page Numbers (Bottom of Page)"/>
        <w:docPartUnique/>
      </w:docPartObj>
    </w:sdtPr>
    <w:sdtEndPr/>
    <w:sdtContent>
      <w:p w14:paraId="73EA04A2" w14:textId="3C779386" w:rsidR="00C22429" w:rsidRDefault="00C22429">
        <w:pPr>
          <w:pStyle w:val="Sidefod"/>
          <w:jc w:val="right"/>
        </w:pPr>
        <w:r>
          <w:fldChar w:fldCharType="begin"/>
        </w:r>
        <w:r>
          <w:instrText>PAGE   \* MERGEFORMAT</w:instrText>
        </w:r>
        <w:r>
          <w:fldChar w:fldCharType="separate"/>
        </w:r>
        <w:r>
          <w:t>2</w:t>
        </w:r>
        <w:r>
          <w:fldChar w:fldCharType="end"/>
        </w:r>
      </w:p>
    </w:sdtContent>
  </w:sdt>
  <w:p w14:paraId="1E3E31A2" w14:textId="72E65A09" w:rsidR="243C4194" w:rsidRDefault="243C4194" w:rsidP="00BC7E05">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5EA2" w14:textId="72ADB7C8" w:rsidR="007B1227" w:rsidRPr="00980B62" w:rsidRDefault="243C4194" w:rsidP="00BC7E05">
    <w:pPr>
      <w:pStyle w:val="Sidefod"/>
      <w:jc w:val="right"/>
      <w:rPr>
        <w:b/>
        <w:bCs/>
      </w:rPr>
    </w:pPr>
    <w:r w:rsidRPr="00980B62">
      <w:rPr>
        <w:b/>
        <w:bCs/>
      </w:rPr>
      <w:t>Region</w:t>
    </w:r>
    <w:r w:rsidR="000A641C">
      <w:rPr>
        <w:b/>
        <w:bCs/>
      </w:rPr>
      <w:t xml:space="preserve"> </w:t>
    </w:r>
    <w:r w:rsidRPr="00980B62">
      <w:rPr>
        <w:b/>
        <w:bCs/>
      </w:rPr>
      <w:t>Midtjyll</w:t>
    </w:r>
    <w:r>
      <w:rPr>
        <w:b/>
        <w:bCs/>
      </w:rPr>
      <w:t>an</w:t>
    </w:r>
    <w:r w:rsidRPr="00980B62">
      <w:rPr>
        <w:b/>
        <w:bCs/>
      </w:rPr>
      <w:t>d</w:t>
    </w:r>
  </w:p>
  <w:p w14:paraId="6D52105D" w14:textId="77777777" w:rsidR="007B1227" w:rsidDel="00B87F44" w:rsidRDefault="243C4194">
    <w:pPr>
      <w:pStyle w:val="Sidefod"/>
      <w:jc w:val="right"/>
    </w:pPr>
    <w:r>
      <w:t>Koncernøkonomi</w:t>
    </w:r>
  </w:p>
  <w:p w14:paraId="004AC3BD" w14:textId="17A20D3C" w:rsidR="007B1227" w:rsidRDefault="243C4194" w:rsidP="00BC7E05">
    <w:pPr>
      <w:pStyle w:val="Sidefod"/>
      <w:jc w:val="right"/>
    </w:pPr>
    <w:r>
      <w:t>Byggeri og Ejendomme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E4F01" w14:textId="77777777" w:rsidR="002323D9" w:rsidRDefault="002323D9" w:rsidP="00980B62">
      <w:pPr>
        <w:spacing w:line="240" w:lineRule="auto"/>
      </w:pPr>
      <w:r>
        <w:separator/>
      </w:r>
    </w:p>
  </w:footnote>
  <w:footnote w:type="continuationSeparator" w:id="0">
    <w:p w14:paraId="1BA4DB9A" w14:textId="77777777" w:rsidR="002323D9" w:rsidRDefault="002323D9" w:rsidP="00980B62">
      <w:pPr>
        <w:spacing w:line="240" w:lineRule="auto"/>
      </w:pPr>
      <w:r>
        <w:continuationSeparator/>
      </w:r>
    </w:p>
  </w:footnote>
  <w:footnote w:type="continuationNotice" w:id="1">
    <w:p w14:paraId="1A572A46" w14:textId="77777777" w:rsidR="002323D9" w:rsidRDefault="002323D9">
      <w:pPr>
        <w:spacing w:line="240" w:lineRule="auto"/>
      </w:pPr>
    </w:p>
  </w:footnote>
  <w:footnote w:id="2">
    <w:p w14:paraId="6E3408D5" w14:textId="6BFB28CC" w:rsidR="00555929" w:rsidRDefault="00555929">
      <w:pPr>
        <w:pStyle w:val="Fodnotetekst"/>
      </w:pPr>
      <w:r>
        <w:rPr>
          <w:rStyle w:val="Fodnotehenvisning"/>
        </w:rPr>
        <w:footnoteRef/>
      </w:r>
      <w:r>
        <w:t xml:space="preserve"> </w:t>
      </w:r>
      <w:r>
        <w:rPr>
          <w:rFonts w:ascii="Arial" w:hAnsi="Arial" w:cs="Arial"/>
          <w:color w:val="1E1E1E"/>
          <w:sz w:val="23"/>
          <w:szCs w:val="23"/>
          <w:shd w:val="clear" w:color="auto" w:fill="FEFEFE"/>
        </w:rPr>
        <w:t>At-vejledning D.2.15 Nedrivning (2005)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1659" w14:textId="77777777" w:rsidR="005C0311" w:rsidRDefault="005C031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D7537" w14:textId="2EB45BFF" w:rsidR="00980B62" w:rsidRDefault="00980B62" w:rsidP="00980B62">
    <w:pPr>
      <w:pStyle w:val="Sidehoved"/>
      <w:ind w:left="7824"/>
      <w:jc w:val="both"/>
    </w:pP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8C50C" w14:textId="78B55FA8" w:rsidR="007B1227" w:rsidRDefault="007B1227" w:rsidP="001D35F4">
    <w:pPr>
      <w:pStyle w:val="Sidehoved"/>
      <w:ind w:left="3912"/>
    </w:pPr>
    <w:r>
      <w:tab/>
    </w:r>
    <w:r>
      <w:tab/>
      <w:t xml:space="preserve">   </w:t>
    </w:r>
    <w:r w:rsidR="001D35F4" w:rsidRPr="001D35F4">
      <w:rPr>
        <w:noProof/>
      </w:rPr>
      <w:drawing>
        <wp:inline distT="0" distB="0" distL="0" distR="0" wp14:anchorId="233FC794" wp14:editId="7E4D1B7F">
          <wp:extent cx="1288415" cy="620395"/>
          <wp:effectExtent l="0" t="0" r="6985" b="8255"/>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62039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1B6"/>
    <w:multiLevelType w:val="hybridMultilevel"/>
    <w:tmpl w:val="F574FD40"/>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70593C"/>
    <w:multiLevelType w:val="hybridMultilevel"/>
    <w:tmpl w:val="8006FB12"/>
    <w:lvl w:ilvl="0" w:tplc="0406000F">
      <w:start w:val="6"/>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F2A61D7"/>
    <w:multiLevelType w:val="multilevel"/>
    <w:tmpl w:val="2A72A8DC"/>
    <w:lvl w:ilvl="0">
      <w:start w:val="4"/>
      <w:numFmt w:val="decimal"/>
      <w:lvlText w:val="%1."/>
      <w:lvlJc w:val="left"/>
      <w:pPr>
        <w:ind w:left="480" w:hanging="48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3" w15:restartNumberingAfterBreak="0">
    <w:nsid w:val="0FB83057"/>
    <w:multiLevelType w:val="multilevel"/>
    <w:tmpl w:val="5BA2AA48"/>
    <w:lvl w:ilvl="0">
      <w:start w:val="1"/>
      <w:numFmt w:val="decimal"/>
      <w:lvlText w:val="%1."/>
      <w:lvlJc w:val="left"/>
      <w:pPr>
        <w:ind w:left="480" w:hanging="48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92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 w15:restartNumberingAfterBreak="0">
    <w:nsid w:val="16323354"/>
    <w:multiLevelType w:val="hybridMultilevel"/>
    <w:tmpl w:val="A31635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71960AF"/>
    <w:multiLevelType w:val="hybridMultilevel"/>
    <w:tmpl w:val="F3F20BF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97C63E6"/>
    <w:multiLevelType w:val="multilevel"/>
    <w:tmpl w:val="3C0AAD08"/>
    <w:lvl w:ilvl="0">
      <w:start w:val="3"/>
      <w:numFmt w:val="decimal"/>
      <w:lvlText w:val="%1."/>
      <w:lvlJc w:val="left"/>
      <w:pPr>
        <w:ind w:left="480" w:hanging="48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7" w15:restartNumberingAfterBreak="0">
    <w:nsid w:val="1CC450D3"/>
    <w:multiLevelType w:val="hybridMultilevel"/>
    <w:tmpl w:val="F9B65DB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28F578F"/>
    <w:multiLevelType w:val="multilevel"/>
    <w:tmpl w:val="4E464AC2"/>
    <w:lvl w:ilvl="0">
      <w:start w:val="4"/>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38E31F69"/>
    <w:multiLevelType w:val="hybridMultilevel"/>
    <w:tmpl w:val="6764E09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B113D0A"/>
    <w:multiLevelType w:val="multilevel"/>
    <w:tmpl w:val="3710B99A"/>
    <w:lvl w:ilvl="0">
      <w:start w:val="5"/>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1" w15:restartNumberingAfterBreak="0">
    <w:nsid w:val="3BDA5A04"/>
    <w:multiLevelType w:val="multilevel"/>
    <w:tmpl w:val="4E5CA26A"/>
    <w:lvl w:ilvl="0">
      <w:start w:val="1"/>
      <w:numFmt w:val="decimal"/>
      <w:pStyle w:val="Overskrift1"/>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2" w15:restartNumberingAfterBreak="0">
    <w:nsid w:val="3D2E4127"/>
    <w:multiLevelType w:val="multilevel"/>
    <w:tmpl w:val="8630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39339E"/>
    <w:multiLevelType w:val="hybridMultilevel"/>
    <w:tmpl w:val="DD6065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0275626"/>
    <w:multiLevelType w:val="hybridMultilevel"/>
    <w:tmpl w:val="A034864E"/>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2613A4C"/>
    <w:multiLevelType w:val="hybridMultilevel"/>
    <w:tmpl w:val="7FCE9AC6"/>
    <w:lvl w:ilvl="0" w:tplc="FFFFFFFF">
      <w:start w:val="1"/>
      <w:numFmt w:val="bullet"/>
      <w:lvlText w:val=""/>
      <w:lvlJc w:val="left"/>
      <w:pPr>
        <w:ind w:left="72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05155E"/>
    <w:multiLevelType w:val="hybridMultilevel"/>
    <w:tmpl w:val="CB3A23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52B4514"/>
    <w:multiLevelType w:val="hybridMultilevel"/>
    <w:tmpl w:val="A2FC37B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D8C46D7"/>
    <w:multiLevelType w:val="hybridMultilevel"/>
    <w:tmpl w:val="DC60E79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414E47"/>
    <w:multiLevelType w:val="hybridMultilevel"/>
    <w:tmpl w:val="92D22C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CD7F5D"/>
    <w:multiLevelType w:val="hybridMultilevel"/>
    <w:tmpl w:val="F27299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5B17E89"/>
    <w:multiLevelType w:val="hybridMultilevel"/>
    <w:tmpl w:val="9BB4B0F8"/>
    <w:lvl w:ilvl="0" w:tplc="0406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8265673"/>
    <w:multiLevelType w:val="multilevel"/>
    <w:tmpl w:val="A9D28B8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3" w15:restartNumberingAfterBreak="0">
    <w:nsid w:val="6BA2210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7536E05"/>
    <w:multiLevelType w:val="hybridMultilevel"/>
    <w:tmpl w:val="14ECE74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A3E7952"/>
    <w:multiLevelType w:val="hybridMultilevel"/>
    <w:tmpl w:val="24A67C80"/>
    <w:lvl w:ilvl="0" w:tplc="0406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B7E6334"/>
    <w:multiLevelType w:val="hybridMultilevel"/>
    <w:tmpl w:val="38929B7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C3F6127"/>
    <w:multiLevelType w:val="hybridMultilevel"/>
    <w:tmpl w:val="E5B852E2"/>
    <w:lvl w:ilvl="0" w:tplc="04060003">
      <w:start w:val="1"/>
      <w:numFmt w:val="bullet"/>
      <w:lvlText w:val="o"/>
      <w:lvlJc w:val="left"/>
      <w:pPr>
        <w:ind w:left="1080" w:hanging="360"/>
      </w:pPr>
      <w:rPr>
        <w:rFonts w:ascii="Courier New" w:hAnsi="Courier New" w:cs="Courier New"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8" w15:restartNumberingAfterBreak="0">
    <w:nsid w:val="7E9F6EB0"/>
    <w:multiLevelType w:val="hybridMultilevel"/>
    <w:tmpl w:val="9C04B2B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393774099">
    <w:abstractNumId w:val="5"/>
  </w:num>
  <w:num w:numId="2" w16cid:durableId="1874296355">
    <w:abstractNumId w:val="19"/>
  </w:num>
  <w:num w:numId="3" w16cid:durableId="503906929">
    <w:abstractNumId w:val="28"/>
  </w:num>
  <w:num w:numId="4" w16cid:durableId="921767215">
    <w:abstractNumId w:val="23"/>
  </w:num>
  <w:num w:numId="5" w16cid:durableId="159002906">
    <w:abstractNumId w:val="26"/>
  </w:num>
  <w:num w:numId="6" w16cid:durableId="1228497090">
    <w:abstractNumId w:val="16"/>
  </w:num>
  <w:num w:numId="7" w16cid:durableId="428475072">
    <w:abstractNumId w:val="11"/>
  </w:num>
  <w:num w:numId="8" w16cid:durableId="2137022840">
    <w:abstractNumId w:val="20"/>
  </w:num>
  <w:num w:numId="9" w16cid:durableId="1926837746">
    <w:abstractNumId w:val="12"/>
  </w:num>
  <w:num w:numId="10" w16cid:durableId="57751613">
    <w:abstractNumId w:val="13"/>
  </w:num>
  <w:num w:numId="11" w16cid:durableId="714740664">
    <w:abstractNumId w:val="6"/>
  </w:num>
  <w:num w:numId="12" w16cid:durableId="1478378006">
    <w:abstractNumId w:val="2"/>
  </w:num>
  <w:num w:numId="13" w16cid:durableId="1027408389">
    <w:abstractNumId w:val="10"/>
  </w:num>
  <w:num w:numId="14" w16cid:durableId="1550341577">
    <w:abstractNumId w:val="8"/>
  </w:num>
  <w:num w:numId="15" w16cid:durableId="73943481">
    <w:abstractNumId w:val="3"/>
  </w:num>
  <w:num w:numId="16" w16cid:durableId="185532446">
    <w:abstractNumId w:val="22"/>
  </w:num>
  <w:num w:numId="17" w16cid:durableId="415783915">
    <w:abstractNumId w:val="4"/>
  </w:num>
  <w:num w:numId="18" w16cid:durableId="485363195">
    <w:abstractNumId w:val="25"/>
  </w:num>
  <w:num w:numId="19" w16cid:durableId="1297024223">
    <w:abstractNumId w:val="27"/>
  </w:num>
  <w:num w:numId="20" w16cid:durableId="256329207">
    <w:abstractNumId w:val="21"/>
  </w:num>
  <w:num w:numId="21" w16cid:durableId="1588688833">
    <w:abstractNumId w:val="24"/>
  </w:num>
  <w:num w:numId="22" w16cid:durableId="2059891544">
    <w:abstractNumId w:val="9"/>
  </w:num>
  <w:num w:numId="23" w16cid:durableId="248387987">
    <w:abstractNumId w:val="17"/>
  </w:num>
  <w:num w:numId="24" w16cid:durableId="747919640">
    <w:abstractNumId w:val="1"/>
  </w:num>
  <w:num w:numId="25" w16cid:durableId="895050599">
    <w:abstractNumId w:val="11"/>
    <w:lvlOverride w:ilvl="0">
      <w:startOverride w:val="4"/>
    </w:lvlOverride>
  </w:num>
  <w:num w:numId="26" w16cid:durableId="2010479246">
    <w:abstractNumId w:val="11"/>
    <w:lvlOverride w:ilvl="0">
      <w:startOverride w:val="3"/>
    </w:lvlOverride>
  </w:num>
  <w:num w:numId="27" w16cid:durableId="24136074">
    <w:abstractNumId w:val="11"/>
    <w:lvlOverride w:ilvl="0">
      <w:startOverride w:val="2"/>
    </w:lvlOverride>
  </w:num>
  <w:num w:numId="28" w16cid:durableId="1649287933">
    <w:abstractNumId w:val="11"/>
    <w:lvlOverride w:ilvl="0">
      <w:startOverride w:val="1"/>
    </w:lvlOverride>
  </w:num>
  <w:num w:numId="29" w16cid:durableId="494417379">
    <w:abstractNumId w:val="0"/>
  </w:num>
  <w:num w:numId="30" w16cid:durableId="1509366316">
    <w:abstractNumId w:val="18"/>
  </w:num>
  <w:num w:numId="31" w16cid:durableId="411968838">
    <w:abstractNumId w:val="7"/>
  </w:num>
  <w:num w:numId="32" w16cid:durableId="658314202">
    <w:abstractNumId w:val="15"/>
  </w:num>
  <w:num w:numId="33" w16cid:durableId="1022322736">
    <w:abstractNumId w:val="14"/>
  </w:num>
  <w:num w:numId="34" w16cid:durableId="782382060">
    <w:abstractNumId w:val="11"/>
  </w:num>
  <w:num w:numId="35" w16cid:durableId="1897933768">
    <w:abstractNumId w:val="11"/>
  </w:num>
  <w:num w:numId="36" w16cid:durableId="1088112564">
    <w:abstractNumId w:val="11"/>
  </w:num>
  <w:num w:numId="37" w16cid:durableId="657154882">
    <w:abstractNumId w:val="11"/>
  </w:num>
  <w:num w:numId="38" w16cid:durableId="72464456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B62"/>
    <w:rsid w:val="00003120"/>
    <w:rsid w:val="00004B97"/>
    <w:rsid w:val="00006901"/>
    <w:rsid w:val="00006AF5"/>
    <w:rsid w:val="00013E67"/>
    <w:rsid w:val="00016381"/>
    <w:rsid w:val="00020080"/>
    <w:rsid w:val="00025952"/>
    <w:rsid w:val="00030459"/>
    <w:rsid w:val="000445CE"/>
    <w:rsid w:val="00046DE7"/>
    <w:rsid w:val="00047643"/>
    <w:rsid w:val="00051637"/>
    <w:rsid w:val="000534A4"/>
    <w:rsid w:val="00061860"/>
    <w:rsid w:val="00067A4C"/>
    <w:rsid w:val="00073555"/>
    <w:rsid w:val="00075B9A"/>
    <w:rsid w:val="00076B8D"/>
    <w:rsid w:val="000A4F8A"/>
    <w:rsid w:val="000A641C"/>
    <w:rsid w:val="000C3AE3"/>
    <w:rsid w:val="000D413A"/>
    <w:rsid w:val="000D5D14"/>
    <w:rsid w:val="000E3BD8"/>
    <w:rsid w:val="000F57C9"/>
    <w:rsid w:val="000F7044"/>
    <w:rsid w:val="001058C6"/>
    <w:rsid w:val="00113BD9"/>
    <w:rsid w:val="00123686"/>
    <w:rsid w:val="00127465"/>
    <w:rsid w:val="0015216E"/>
    <w:rsid w:val="0015228F"/>
    <w:rsid w:val="00170D93"/>
    <w:rsid w:val="00175BF8"/>
    <w:rsid w:val="0018022E"/>
    <w:rsid w:val="00183944"/>
    <w:rsid w:val="00184935"/>
    <w:rsid w:val="00191876"/>
    <w:rsid w:val="001B4D3E"/>
    <w:rsid w:val="001C4804"/>
    <w:rsid w:val="001D35F4"/>
    <w:rsid w:val="001E6241"/>
    <w:rsid w:val="001F1756"/>
    <w:rsid w:val="00202A2B"/>
    <w:rsid w:val="00203BF6"/>
    <w:rsid w:val="00214C88"/>
    <w:rsid w:val="00226A4A"/>
    <w:rsid w:val="002323D9"/>
    <w:rsid w:val="002354EB"/>
    <w:rsid w:val="00243D2A"/>
    <w:rsid w:val="00244703"/>
    <w:rsid w:val="002529CB"/>
    <w:rsid w:val="002530AA"/>
    <w:rsid w:val="00256252"/>
    <w:rsid w:val="00262A0E"/>
    <w:rsid w:val="002701F9"/>
    <w:rsid w:val="00290589"/>
    <w:rsid w:val="002B0BCC"/>
    <w:rsid w:val="002B219C"/>
    <w:rsid w:val="002C024D"/>
    <w:rsid w:val="002D302F"/>
    <w:rsid w:val="002E3DB0"/>
    <w:rsid w:val="002F3B18"/>
    <w:rsid w:val="00300D20"/>
    <w:rsid w:val="00302BBA"/>
    <w:rsid w:val="003078CD"/>
    <w:rsid w:val="00317354"/>
    <w:rsid w:val="0032233F"/>
    <w:rsid w:val="00343410"/>
    <w:rsid w:val="00357422"/>
    <w:rsid w:val="00374033"/>
    <w:rsid w:val="00382AEE"/>
    <w:rsid w:val="00382B09"/>
    <w:rsid w:val="00394221"/>
    <w:rsid w:val="0039527D"/>
    <w:rsid w:val="003A36BF"/>
    <w:rsid w:val="003A39EE"/>
    <w:rsid w:val="003B6B16"/>
    <w:rsid w:val="003C4B48"/>
    <w:rsid w:val="003D27A4"/>
    <w:rsid w:val="003E666F"/>
    <w:rsid w:val="003F4D20"/>
    <w:rsid w:val="00434C47"/>
    <w:rsid w:val="00443D40"/>
    <w:rsid w:val="004623E7"/>
    <w:rsid w:val="0046253C"/>
    <w:rsid w:val="00481777"/>
    <w:rsid w:val="00494E54"/>
    <w:rsid w:val="00497496"/>
    <w:rsid w:val="004B436A"/>
    <w:rsid w:val="004C16DC"/>
    <w:rsid w:val="004C265B"/>
    <w:rsid w:val="004C604A"/>
    <w:rsid w:val="004D2014"/>
    <w:rsid w:val="004E60BF"/>
    <w:rsid w:val="004F6B62"/>
    <w:rsid w:val="00522721"/>
    <w:rsid w:val="005261B8"/>
    <w:rsid w:val="0054278C"/>
    <w:rsid w:val="00543717"/>
    <w:rsid w:val="00555929"/>
    <w:rsid w:val="00580F0D"/>
    <w:rsid w:val="0058190C"/>
    <w:rsid w:val="00584C2C"/>
    <w:rsid w:val="00593320"/>
    <w:rsid w:val="005A16DC"/>
    <w:rsid w:val="005A399C"/>
    <w:rsid w:val="005B32FD"/>
    <w:rsid w:val="005B72E9"/>
    <w:rsid w:val="005B73FB"/>
    <w:rsid w:val="005B7CD3"/>
    <w:rsid w:val="005C0311"/>
    <w:rsid w:val="005C75D5"/>
    <w:rsid w:val="005D1CB9"/>
    <w:rsid w:val="005E1BB9"/>
    <w:rsid w:val="005E6AA2"/>
    <w:rsid w:val="005E7712"/>
    <w:rsid w:val="005F222D"/>
    <w:rsid w:val="006013D0"/>
    <w:rsid w:val="00614D16"/>
    <w:rsid w:val="006278BC"/>
    <w:rsid w:val="00631D39"/>
    <w:rsid w:val="0063513F"/>
    <w:rsid w:val="00635D9D"/>
    <w:rsid w:val="00640AC9"/>
    <w:rsid w:val="0065522C"/>
    <w:rsid w:val="00664D18"/>
    <w:rsid w:val="00675C2B"/>
    <w:rsid w:val="00684FE1"/>
    <w:rsid w:val="006E15D2"/>
    <w:rsid w:val="006E2087"/>
    <w:rsid w:val="006E7D45"/>
    <w:rsid w:val="006F13A4"/>
    <w:rsid w:val="007043A7"/>
    <w:rsid w:val="00720663"/>
    <w:rsid w:val="007252DC"/>
    <w:rsid w:val="00735513"/>
    <w:rsid w:val="00742100"/>
    <w:rsid w:val="007470C2"/>
    <w:rsid w:val="0074716A"/>
    <w:rsid w:val="00751875"/>
    <w:rsid w:val="0076224E"/>
    <w:rsid w:val="007871A9"/>
    <w:rsid w:val="0078773B"/>
    <w:rsid w:val="00794555"/>
    <w:rsid w:val="007A00F8"/>
    <w:rsid w:val="007A2A94"/>
    <w:rsid w:val="007A7E9C"/>
    <w:rsid w:val="007B1227"/>
    <w:rsid w:val="007B2D06"/>
    <w:rsid w:val="007B494D"/>
    <w:rsid w:val="007C0FD4"/>
    <w:rsid w:val="007C1B70"/>
    <w:rsid w:val="007D0804"/>
    <w:rsid w:val="007D2748"/>
    <w:rsid w:val="007D3863"/>
    <w:rsid w:val="007D4607"/>
    <w:rsid w:val="007E6BEF"/>
    <w:rsid w:val="007F4487"/>
    <w:rsid w:val="0080077D"/>
    <w:rsid w:val="00810F60"/>
    <w:rsid w:val="008111C3"/>
    <w:rsid w:val="00811AF8"/>
    <w:rsid w:val="00821030"/>
    <w:rsid w:val="00832EEC"/>
    <w:rsid w:val="00834E81"/>
    <w:rsid w:val="0085140C"/>
    <w:rsid w:val="00857819"/>
    <w:rsid w:val="008635E0"/>
    <w:rsid w:val="00864188"/>
    <w:rsid w:val="00867127"/>
    <w:rsid w:val="0087552F"/>
    <w:rsid w:val="00882B1B"/>
    <w:rsid w:val="00884EF5"/>
    <w:rsid w:val="008859E8"/>
    <w:rsid w:val="00892F56"/>
    <w:rsid w:val="0089468A"/>
    <w:rsid w:val="00896F33"/>
    <w:rsid w:val="008A32D5"/>
    <w:rsid w:val="008A4173"/>
    <w:rsid w:val="008B2E8C"/>
    <w:rsid w:val="008B621F"/>
    <w:rsid w:val="008B6B2A"/>
    <w:rsid w:val="008C1340"/>
    <w:rsid w:val="008D78E0"/>
    <w:rsid w:val="008E13BB"/>
    <w:rsid w:val="008E588D"/>
    <w:rsid w:val="008F4044"/>
    <w:rsid w:val="00902182"/>
    <w:rsid w:val="009047F7"/>
    <w:rsid w:val="00911895"/>
    <w:rsid w:val="00926DAD"/>
    <w:rsid w:val="00943C81"/>
    <w:rsid w:val="0096193E"/>
    <w:rsid w:val="00975B00"/>
    <w:rsid w:val="0098064B"/>
    <w:rsid w:val="00980B62"/>
    <w:rsid w:val="009877EE"/>
    <w:rsid w:val="00997AF5"/>
    <w:rsid w:val="009A109D"/>
    <w:rsid w:val="009A1AAA"/>
    <w:rsid w:val="009A60D9"/>
    <w:rsid w:val="009B7310"/>
    <w:rsid w:val="009D72E5"/>
    <w:rsid w:val="00A07C8D"/>
    <w:rsid w:val="00A10126"/>
    <w:rsid w:val="00A203B6"/>
    <w:rsid w:val="00A20C62"/>
    <w:rsid w:val="00A3151F"/>
    <w:rsid w:val="00A40CFF"/>
    <w:rsid w:val="00A45304"/>
    <w:rsid w:val="00A70BA8"/>
    <w:rsid w:val="00A74393"/>
    <w:rsid w:val="00A776BB"/>
    <w:rsid w:val="00A77C36"/>
    <w:rsid w:val="00A83915"/>
    <w:rsid w:val="00A9426A"/>
    <w:rsid w:val="00AC12DA"/>
    <w:rsid w:val="00AC65E8"/>
    <w:rsid w:val="00AE1386"/>
    <w:rsid w:val="00AE47AE"/>
    <w:rsid w:val="00B112CC"/>
    <w:rsid w:val="00B123B6"/>
    <w:rsid w:val="00B12A12"/>
    <w:rsid w:val="00B12FB9"/>
    <w:rsid w:val="00B13C57"/>
    <w:rsid w:val="00B15E06"/>
    <w:rsid w:val="00B1714E"/>
    <w:rsid w:val="00B26023"/>
    <w:rsid w:val="00B2726D"/>
    <w:rsid w:val="00B417F6"/>
    <w:rsid w:val="00B425D2"/>
    <w:rsid w:val="00B51693"/>
    <w:rsid w:val="00B51A5F"/>
    <w:rsid w:val="00B57A0C"/>
    <w:rsid w:val="00B712C5"/>
    <w:rsid w:val="00B7625C"/>
    <w:rsid w:val="00B77122"/>
    <w:rsid w:val="00B85DE9"/>
    <w:rsid w:val="00B87F44"/>
    <w:rsid w:val="00B90C9B"/>
    <w:rsid w:val="00B932A0"/>
    <w:rsid w:val="00BA0678"/>
    <w:rsid w:val="00BB5D1D"/>
    <w:rsid w:val="00BC2D58"/>
    <w:rsid w:val="00BC468E"/>
    <w:rsid w:val="00BC7E05"/>
    <w:rsid w:val="00BD47C9"/>
    <w:rsid w:val="00BE3BAE"/>
    <w:rsid w:val="00BE4621"/>
    <w:rsid w:val="00BE47C7"/>
    <w:rsid w:val="00BF1290"/>
    <w:rsid w:val="00BF2230"/>
    <w:rsid w:val="00C0045B"/>
    <w:rsid w:val="00C22429"/>
    <w:rsid w:val="00C34EA9"/>
    <w:rsid w:val="00C46700"/>
    <w:rsid w:val="00C57B41"/>
    <w:rsid w:val="00C57F34"/>
    <w:rsid w:val="00C639D6"/>
    <w:rsid w:val="00C74AEB"/>
    <w:rsid w:val="00C877D4"/>
    <w:rsid w:val="00C92D38"/>
    <w:rsid w:val="00C94D50"/>
    <w:rsid w:val="00CA2ECC"/>
    <w:rsid w:val="00CA5B26"/>
    <w:rsid w:val="00CB758C"/>
    <w:rsid w:val="00CC0206"/>
    <w:rsid w:val="00CC4F82"/>
    <w:rsid w:val="00CC7E51"/>
    <w:rsid w:val="00CD1519"/>
    <w:rsid w:val="00CD448B"/>
    <w:rsid w:val="00CD48DD"/>
    <w:rsid w:val="00CE7AB6"/>
    <w:rsid w:val="00CF0E78"/>
    <w:rsid w:val="00CF5F6C"/>
    <w:rsid w:val="00D0288C"/>
    <w:rsid w:val="00D07EB6"/>
    <w:rsid w:val="00D21CEA"/>
    <w:rsid w:val="00D33B1B"/>
    <w:rsid w:val="00D60C40"/>
    <w:rsid w:val="00D60FD3"/>
    <w:rsid w:val="00D64748"/>
    <w:rsid w:val="00D66E24"/>
    <w:rsid w:val="00D675B7"/>
    <w:rsid w:val="00D71129"/>
    <w:rsid w:val="00D7567A"/>
    <w:rsid w:val="00D76D22"/>
    <w:rsid w:val="00D823FA"/>
    <w:rsid w:val="00D86D2B"/>
    <w:rsid w:val="00D87D26"/>
    <w:rsid w:val="00D95E7D"/>
    <w:rsid w:val="00DC76AF"/>
    <w:rsid w:val="00DD0C52"/>
    <w:rsid w:val="00DD2B7F"/>
    <w:rsid w:val="00DD2C1C"/>
    <w:rsid w:val="00DD703A"/>
    <w:rsid w:val="00DF092E"/>
    <w:rsid w:val="00DF2CF3"/>
    <w:rsid w:val="00E11CFE"/>
    <w:rsid w:val="00E32003"/>
    <w:rsid w:val="00E564BB"/>
    <w:rsid w:val="00E614E7"/>
    <w:rsid w:val="00E632DB"/>
    <w:rsid w:val="00E65790"/>
    <w:rsid w:val="00E73FB1"/>
    <w:rsid w:val="00E74A4B"/>
    <w:rsid w:val="00E775D2"/>
    <w:rsid w:val="00EA3E17"/>
    <w:rsid w:val="00EB1E4D"/>
    <w:rsid w:val="00EB5C38"/>
    <w:rsid w:val="00EC0082"/>
    <w:rsid w:val="00ED257D"/>
    <w:rsid w:val="00EE2D5B"/>
    <w:rsid w:val="00EE389E"/>
    <w:rsid w:val="00EF3A46"/>
    <w:rsid w:val="00F05F34"/>
    <w:rsid w:val="00F07348"/>
    <w:rsid w:val="00F10A10"/>
    <w:rsid w:val="00F20F71"/>
    <w:rsid w:val="00F24B6A"/>
    <w:rsid w:val="00F262D8"/>
    <w:rsid w:val="00F279E1"/>
    <w:rsid w:val="00F341FE"/>
    <w:rsid w:val="00F4130E"/>
    <w:rsid w:val="00F42830"/>
    <w:rsid w:val="00F47FAF"/>
    <w:rsid w:val="00F725A3"/>
    <w:rsid w:val="00F7366F"/>
    <w:rsid w:val="00F75CFC"/>
    <w:rsid w:val="00F92C09"/>
    <w:rsid w:val="00FB0029"/>
    <w:rsid w:val="00FB1020"/>
    <w:rsid w:val="00FC04B4"/>
    <w:rsid w:val="00FC1AF6"/>
    <w:rsid w:val="00FD2678"/>
    <w:rsid w:val="00FD4721"/>
    <w:rsid w:val="00FE00AF"/>
    <w:rsid w:val="00FE2D45"/>
    <w:rsid w:val="00FF0191"/>
    <w:rsid w:val="00FF64A3"/>
    <w:rsid w:val="243C4194"/>
    <w:rsid w:val="4B42703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BE2F7"/>
  <w15:chartTrackingRefBased/>
  <w15:docId w15:val="{C1352356-9E03-46E9-8293-9592AC17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uiPriority="3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4A3"/>
    <w:pPr>
      <w:spacing w:after="0"/>
    </w:pPr>
  </w:style>
  <w:style w:type="paragraph" w:styleId="Overskrift1">
    <w:name w:val="heading 1"/>
    <w:basedOn w:val="Normal"/>
    <w:next w:val="Normal"/>
    <w:link w:val="Overskrift1Tegn"/>
    <w:autoRedefine/>
    <w:uiPriority w:val="9"/>
    <w:qFormat/>
    <w:rsid w:val="00183944"/>
    <w:pPr>
      <w:keepNext/>
      <w:keepLines/>
      <w:numPr>
        <w:numId w:val="7"/>
      </w:numPr>
      <w:spacing w:before="240"/>
      <w:ind w:left="284"/>
      <w:jc w:val="both"/>
      <w:outlineLvl w:val="0"/>
    </w:pPr>
    <w:rPr>
      <w:rFonts w:eastAsiaTheme="majorEastAsia" w:cstheme="majorBidi"/>
      <w:sz w:val="28"/>
      <w:szCs w:val="32"/>
    </w:rPr>
  </w:style>
  <w:style w:type="paragraph" w:styleId="Overskrift2">
    <w:name w:val="heading 2"/>
    <w:basedOn w:val="Normal"/>
    <w:next w:val="Normal"/>
    <w:link w:val="Overskrift2Tegn"/>
    <w:uiPriority w:val="9"/>
    <w:unhideWhenUsed/>
    <w:qFormat/>
    <w:rsid w:val="005F222D"/>
    <w:pPr>
      <w:keepNext/>
      <w:keepLines/>
      <w:spacing w:before="40"/>
      <w:outlineLvl w:val="1"/>
    </w:pPr>
    <w:rPr>
      <w:rFonts w:eastAsiaTheme="majorEastAsia" w:cstheme="majorBidi"/>
      <w:sz w:val="24"/>
      <w:szCs w:val="26"/>
    </w:rPr>
  </w:style>
  <w:style w:type="paragraph" w:styleId="Overskrift3">
    <w:name w:val="heading 3"/>
    <w:basedOn w:val="Normal"/>
    <w:next w:val="Normal"/>
    <w:link w:val="Overskrift3Tegn"/>
    <w:uiPriority w:val="9"/>
    <w:unhideWhenUsed/>
    <w:qFormat/>
    <w:rsid w:val="005F222D"/>
    <w:pPr>
      <w:keepNext/>
      <w:keepLines/>
      <w:spacing w:before="40"/>
      <w:outlineLvl w:val="2"/>
    </w:pPr>
    <w:rPr>
      <w:rFonts w:eastAsiaTheme="majorEastAsia" w:cstheme="majorBidi"/>
      <w:szCs w:val="24"/>
    </w:rPr>
  </w:style>
  <w:style w:type="paragraph" w:styleId="Overskrift4">
    <w:name w:val="heading 4"/>
    <w:basedOn w:val="Normal"/>
    <w:next w:val="Normal"/>
    <w:link w:val="Overskrift4Tegn"/>
    <w:uiPriority w:val="9"/>
    <w:unhideWhenUsed/>
    <w:qFormat/>
    <w:rsid w:val="005F222D"/>
    <w:pPr>
      <w:keepNext/>
      <w:keepLines/>
      <w:spacing w:before="40"/>
      <w:outlineLvl w:val="3"/>
    </w:pPr>
    <w:rPr>
      <w:rFonts w:eastAsiaTheme="majorEastAsia" w:cstheme="majorBidi"/>
      <w:i/>
      <w:iCs/>
    </w:rPr>
  </w:style>
  <w:style w:type="paragraph" w:styleId="Overskrift5">
    <w:name w:val="heading 5"/>
    <w:basedOn w:val="Normal"/>
    <w:next w:val="Normal"/>
    <w:link w:val="Overskrift5Tegn"/>
    <w:uiPriority w:val="9"/>
    <w:unhideWhenUsed/>
    <w:qFormat/>
    <w:rsid w:val="005F222D"/>
    <w:pPr>
      <w:keepNext/>
      <w:keepLines/>
      <w:spacing w:before="40"/>
      <w:outlineLvl w:val="4"/>
    </w:pPr>
    <w:rPr>
      <w:rFonts w:eastAsiaTheme="majorEastAsia" w:cstheme="majorBidi"/>
    </w:rPr>
  </w:style>
  <w:style w:type="paragraph" w:styleId="Overskrift6">
    <w:name w:val="heading 6"/>
    <w:basedOn w:val="Normal"/>
    <w:next w:val="Normal"/>
    <w:link w:val="Overskrift6Tegn"/>
    <w:uiPriority w:val="9"/>
    <w:unhideWhenUsed/>
    <w:qFormat/>
    <w:rsid w:val="005261B8"/>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83944"/>
    <w:rPr>
      <w:rFonts w:eastAsiaTheme="majorEastAsia" w:cstheme="majorBidi"/>
      <w:sz w:val="28"/>
      <w:szCs w:val="32"/>
    </w:rPr>
  </w:style>
  <w:style w:type="character" w:customStyle="1" w:styleId="Overskrift2Tegn">
    <w:name w:val="Overskrift 2 Tegn"/>
    <w:basedOn w:val="Standardskrifttypeiafsnit"/>
    <w:link w:val="Overskrift2"/>
    <w:uiPriority w:val="9"/>
    <w:rsid w:val="005F222D"/>
    <w:rPr>
      <w:rFonts w:eastAsiaTheme="majorEastAsia" w:cstheme="majorBidi"/>
      <w:sz w:val="24"/>
      <w:szCs w:val="26"/>
    </w:rPr>
  </w:style>
  <w:style w:type="paragraph" w:styleId="Ingenafstand">
    <w:name w:val="No Spacing"/>
    <w:link w:val="IngenafstandTegn"/>
    <w:uiPriority w:val="1"/>
    <w:qFormat/>
    <w:rsid w:val="005F222D"/>
    <w:pPr>
      <w:spacing w:after="0" w:line="240" w:lineRule="auto"/>
    </w:pPr>
  </w:style>
  <w:style w:type="character" w:customStyle="1" w:styleId="Overskrift3Tegn">
    <w:name w:val="Overskrift 3 Tegn"/>
    <w:basedOn w:val="Standardskrifttypeiafsnit"/>
    <w:link w:val="Overskrift3"/>
    <w:uiPriority w:val="9"/>
    <w:rsid w:val="005F222D"/>
    <w:rPr>
      <w:rFonts w:eastAsiaTheme="majorEastAsia" w:cstheme="majorBidi"/>
      <w:szCs w:val="24"/>
    </w:rPr>
  </w:style>
  <w:style w:type="character" w:customStyle="1" w:styleId="Overskrift4Tegn">
    <w:name w:val="Overskrift 4 Tegn"/>
    <w:basedOn w:val="Standardskrifttypeiafsnit"/>
    <w:link w:val="Overskrift4"/>
    <w:uiPriority w:val="9"/>
    <w:rsid w:val="005F222D"/>
    <w:rPr>
      <w:rFonts w:eastAsiaTheme="majorEastAsia" w:cstheme="majorBidi"/>
      <w:i/>
      <w:iCs/>
    </w:rPr>
  </w:style>
  <w:style w:type="character" w:customStyle="1" w:styleId="Overskrift5Tegn">
    <w:name w:val="Overskrift 5 Tegn"/>
    <w:basedOn w:val="Standardskrifttypeiafsnit"/>
    <w:link w:val="Overskrift5"/>
    <w:uiPriority w:val="9"/>
    <w:rsid w:val="005F222D"/>
    <w:rPr>
      <w:rFonts w:eastAsiaTheme="majorEastAsia" w:cstheme="majorBidi"/>
    </w:rPr>
  </w:style>
  <w:style w:type="paragraph" w:styleId="Sidehoved">
    <w:name w:val="header"/>
    <w:basedOn w:val="Normal"/>
    <w:link w:val="SidehovedTegn"/>
    <w:uiPriority w:val="99"/>
    <w:unhideWhenUsed/>
    <w:rsid w:val="00980B6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80B62"/>
  </w:style>
  <w:style w:type="paragraph" w:styleId="Sidefod">
    <w:name w:val="footer"/>
    <w:basedOn w:val="Normal"/>
    <w:link w:val="SidefodTegn"/>
    <w:uiPriority w:val="99"/>
    <w:unhideWhenUsed/>
    <w:rsid w:val="00980B62"/>
    <w:pPr>
      <w:tabs>
        <w:tab w:val="center" w:pos="4819"/>
        <w:tab w:val="right" w:pos="9638"/>
      </w:tabs>
      <w:spacing w:line="240" w:lineRule="auto"/>
    </w:pPr>
  </w:style>
  <w:style w:type="character" w:customStyle="1" w:styleId="SidefodTegn">
    <w:name w:val="Sidefod Tegn"/>
    <w:basedOn w:val="Standardskrifttypeiafsnit"/>
    <w:link w:val="Sidefod"/>
    <w:uiPriority w:val="99"/>
    <w:rsid w:val="00980B62"/>
  </w:style>
  <w:style w:type="paragraph" w:customStyle="1" w:styleId="FOR1enhed">
    <w:name w:val="FOR1_enhed"/>
    <w:basedOn w:val="Normal"/>
    <w:rsid w:val="00980B62"/>
    <w:pPr>
      <w:framePr w:w="3623" w:h="12253" w:hRule="exact" w:hSpace="142" w:wrap="around" w:vAnchor="page" w:hAnchor="page" w:x="8177" w:y="3573" w:anchorLock="1"/>
      <w:tabs>
        <w:tab w:val="left" w:pos="425"/>
        <w:tab w:val="left" w:pos="851"/>
        <w:tab w:val="left" w:pos="1276"/>
      </w:tabs>
      <w:spacing w:line="340" w:lineRule="exact"/>
      <w:jc w:val="right"/>
    </w:pPr>
    <w:rPr>
      <w:rFonts w:eastAsia="Times New Roman" w:cs="Times New Roman"/>
      <w:b/>
      <w:kern w:val="24"/>
      <w:sz w:val="26"/>
      <w:szCs w:val="26"/>
      <w:lang w:eastAsia="da-DK"/>
      <w14:ligatures w14:val="none"/>
    </w:rPr>
  </w:style>
  <w:style w:type="paragraph" w:customStyle="1" w:styleId="FOR2sted">
    <w:name w:val="FOR2_sted"/>
    <w:basedOn w:val="FOR1enhed"/>
    <w:rsid w:val="00980B62"/>
    <w:pPr>
      <w:framePr w:wrap="around"/>
    </w:pPr>
    <w:rPr>
      <w:b w:val="0"/>
    </w:rPr>
  </w:style>
  <w:style w:type="character" w:customStyle="1" w:styleId="IngenafstandTegn">
    <w:name w:val="Ingen afstand Tegn"/>
    <w:basedOn w:val="Standardskrifttypeiafsnit"/>
    <w:link w:val="Ingenafstand"/>
    <w:uiPriority w:val="1"/>
    <w:rsid w:val="00A776BB"/>
  </w:style>
  <w:style w:type="paragraph" w:styleId="Listeafsnit">
    <w:name w:val="List Paragraph"/>
    <w:basedOn w:val="Normal"/>
    <w:uiPriority w:val="34"/>
    <w:qFormat/>
    <w:rsid w:val="00B12A12"/>
    <w:pPr>
      <w:ind w:left="720"/>
      <w:contextualSpacing/>
    </w:pPr>
  </w:style>
  <w:style w:type="paragraph" w:customStyle="1" w:styleId="Default">
    <w:name w:val="Default"/>
    <w:rsid w:val="00640AC9"/>
    <w:pPr>
      <w:autoSpaceDE w:val="0"/>
      <w:autoSpaceDN w:val="0"/>
      <w:adjustRightInd w:val="0"/>
      <w:spacing w:after="0" w:line="240" w:lineRule="auto"/>
    </w:pPr>
    <w:rPr>
      <w:rFonts w:ascii="Arial" w:hAnsi="Arial" w:cs="Arial"/>
      <w:color w:val="000000"/>
      <w:kern w:val="0"/>
      <w:sz w:val="24"/>
      <w:szCs w:val="24"/>
    </w:rPr>
  </w:style>
  <w:style w:type="table" w:styleId="Tabel-Gitter">
    <w:name w:val="Table Grid"/>
    <w:basedOn w:val="Tabel-Normal"/>
    <w:uiPriority w:val="39"/>
    <w:rsid w:val="00F73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834E81"/>
    <w:pPr>
      <w:spacing w:after="0" w:line="240" w:lineRule="auto"/>
    </w:pPr>
  </w:style>
  <w:style w:type="character" w:styleId="Kommentarhenvisning">
    <w:name w:val="annotation reference"/>
    <w:basedOn w:val="Standardskrifttypeiafsnit"/>
    <w:uiPriority w:val="99"/>
    <w:semiHidden/>
    <w:unhideWhenUsed/>
    <w:rsid w:val="00FD4721"/>
    <w:rPr>
      <w:sz w:val="16"/>
      <w:szCs w:val="16"/>
    </w:rPr>
  </w:style>
  <w:style w:type="paragraph" w:styleId="Kommentartekst">
    <w:name w:val="annotation text"/>
    <w:basedOn w:val="Normal"/>
    <w:link w:val="KommentartekstTegn"/>
    <w:uiPriority w:val="99"/>
    <w:unhideWhenUsed/>
    <w:rsid w:val="00FD4721"/>
    <w:pPr>
      <w:spacing w:line="240" w:lineRule="auto"/>
    </w:pPr>
  </w:style>
  <w:style w:type="character" w:customStyle="1" w:styleId="KommentartekstTegn">
    <w:name w:val="Kommentartekst Tegn"/>
    <w:basedOn w:val="Standardskrifttypeiafsnit"/>
    <w:link w:val="Kommentartekst"/>
    <w:uiPriority w:val="99"/>
    <w:rsid w:val="00FD4721"/>
  </w:style>
  <w:style w:type="paragraph" w:styleId="Kommentaremne">
    <w:name w:val="annotation subject"/>
    <w:basedOn w:val="Kommentartekst"/>
    <w:next w:val="Kommentartekst"/>
    <w:link w:val="KommentaremneTegn"/>
    <w:uiPriority w:val="99"/>
    <w:semiHidden/>
    <w:unhideWhenUsed/>
    <w:rsid w:val="00FD4721"/>
    <w:rPr>
      <w:b/>
      <w:bCs/>
    </w:rPr>
  </w:style>
  <w:style w:type="character" w:customStyle="1" w:styleId="KommentaremneTegn">
    <w:name w:val="Kommentaremne Tegn"/>
    <w:basedOn w:val="KommentartekstTegn"/>
    <w:link w:val="Kommentaremne"/>
    <w:uiPriority w:val="99"/>
    <w:semiHidden/>
    <w:rsid w:val="00FD4721"/>
    <w:rPr>
      <w:b/>
      <w:bCs/>
    </w:rPr>
  </w:style>
  <w:style w:type="paragraph" w:styleId="NormalWeb">
    <w:name w:val="Normal (Web)"/>
    <w:basedOn w:val="Normal"/>
    <w:uiPriority w:val="99"/>
    <w:semiHidden/>
    <w:unhideWhenUsed/>
    <w:rsid w:val="006E7D45"/>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styleId="Slutnotetekst">
    <w:name w:val="endnote text"/>
    <w:basedOn w:val="Normal"/>
    <w:link w:val="SlutnotetekstTegn"/>
    <w:uiPriority w:val="99"/>
    <w:semiHidden/>
    <w:unhideWhenUsed/>
    <w:rsid w:val="00555929"/>
    <w:pPr>
      <w:spacing w:line="240" w:lineRule="auto"/>
    </w:pPr>
  </w:style>
  <w:style w:type="character" w:customStyle="1" w:styleId="SlutnotetekstTegn">
    <w:name w:val="Slutnotetekst Tegn"/>
    <w:basedOn w:val="Standardskrifttypeiafsnit"/>
    <w:link w:val="Slutnotetekst"/>
    <w:uiPriority w:val="99"/>
    <w:semiHidden/>
    <w:rsid w:val="00555929"/>
  </w:style>
  <w:style w:type="character" w:styleId="Slutnotehenvisning">
    <w:name w:val="endnote reference"/>
    <w:basedOn w:val="Standardskrifttypeiafsnit"/>
    <w:uiPriority w:val="99"/>
    <w:semiHidden/>
    <w:unhideWhenUsed/>
    <w:rsid w:val="00555929"/>
    <w:rPr>
      <w:vertAlign w:val="superscript"/>
    </w:rPr>
  </w:style>
  <w:style w:type="paragraph" w:styleId="Fodnotetekst">
    <w:name w:val="footnote text"/>
    <w:basedOn w:val="Normal"/>
    <w:link w:val="FodnotetekstTegn"/>
    <w:uiPriority w:val="99"/>
    <w:semiHidden/>
    <w:unhideWhenUsed/>
    <w:rsid w:val="00555929"/>
    <w:pPr>
      <w:spacing w:line="240" w:lineRule="auto"/>
    </w:pPr>
  </w:style>
  <w:style w:type="character" w:customStyle="1" w:styleId="FodnotetekstTegn">
    <w:name w:val="Fodnotetekst Tegn"/>
    <w:basedOn w:val="Standardskrifttypeiafsnit"/>
    <w:link w:val="Fodnotetekst"/>
    <w:uiPriority w:val="99"/>
    <w:semiHidden/>
    <w:rsid w:val="00555929"/>
  </w:style>
  <w:style w:type="character" w:styleId="Fodnotehenvisning">
    <w:name w:val="footnote reference"/>
    <w:basedOn w:val="Standardskrifttypeiafsnit"/>
    <w:uiPriority w:val="99"/>
    <w:semiHidden/>
    <w:unhideWhenUsed/>
    <w:rsid w:val="00555929"/>
    <w:rPr>
      <w:vertAlign w:val="superscript"/>
    </w:rPr>
  </w:style>
  <w:style w:type="character" w:customStyle="1" w:styleId="Overskrift6Tegn">
    <w:name w:val="Overskrift 6 Tegn"/>
    <w:basedOn w:val="Standardskrifttypeiafsnit"/>
    <w:link w:val="Overskrift6"/>
    <w:uiPriority w:val="9"/>
    <w:rsid w:val="005261B8"/>
    <w:rPr>
      <w:rFonts w:asciiTheme="majorHAnsi" w:eastAsiaTheme="majorEastAsia" w:hAnsiTheme="majorHAnsi" w:cstheme="majorBidi"/>
      <w:color w:val="1F4D78" w:themeColor="accent1" w:themeShade="7F"/>
    </w:rPr>
  </w:style>
  <w:style w:type="paragraph" w:styleId="Overskrift">
    <w:name w:val="TOC Heading"/>
    <w:basedOn w:val="Overskrift1"/>
    <w:next w:val="Normal"/>
    <w:uiPriority w:val="39"/>
    <w:unhideWhenUsed/>
    <w:qFormat/>
    <w:rsid w:val="00F725A3"/>
    <w:pPr>
      <w:outlineLvl w:val="9"/>
    </w:pPr>
    <w:rPr>
      <w:rFonts w:asciiTheme="majorHAnsi" w:hAnsiTheme="majorHAnsi"/>
      <w:color w:val="2E74B5" w:themeColor="accent1" w:themeShade="BF"/>
      <w:kern w:val="0"/>
      <w:sz w:val="32"/>
      <w:lang w:eastAsia="da-DK"/>
      <w14:ligatures w14:val="none"/>
    </w:rPr>
  </w:style>
  <w:style w:type="paragraph" w:styleId="Indholdsfortegnelse2">
    <w:name w:val="toc 2"/>
    <w:basedOn w:val="Normal"/>
    <w:next w:val="Normal"/>
    <w:autoRedefine/>
    <w:uiPriority w:val="39"/>
    <w:unhideWhenUsed/>
    <w:rsid w:val="00F725A3"/>
    <w:pPr>
      <w:spacing w:after="100"/>
      <w:ind w:left="200"/>
    </w:pPr>
  </w:style>
  <w:style w:type="paragraph" w:styleId="Indholdsfortegnelse1">
    <w:name w:val="toc 1"/>
    <w:basedOn w:val="Normal"/>
    <w:next w:val="Normal"/>
    <w:autoRedefine/>
    <w:uiPriority w:val="39"/>
    <w:unhideWhenUsed/>
    <w:rsid w:val="00F725A3"/>
    <w:pPr>
      <w:spacing w:after="100"/>
    </w:pPr>
  </w:style>
  <w:style w:type="character" w:styleId="Hyperlink">
    <w:name w:val="Hyperlink"/>
    <w:basedOn w:val="Standardskrifttypeiafsnit"/>
    <w:uiPriority w:val="99"/>
    <w:unhideWhenUsed/>
    <w:rsid w:val="00F725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09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6ed7e34-8503-4fd5-b2f8-ce5e62b72b12" xsi:nil="true"/>
    <lcf76f155ced4ddcb4097134ff3c332f xmlns="5fea13b0-b4c0-4ca3-95ce-6bb4b6978223">
      <Terms xmlns="http://schemas.microsoft.com/office/infopath/2007/PartnerControls"/>
    </lcf76f155ced4ddcb4097134ff3c332f>
    <KLIK_IKKE_JournaliseringsTidspunkter_SBSYSJournalisering xmlns="5fea13b0-b4c0-4ca3-95ce-6bb4b6978223" xsi:nil="true"/>
    <Tidligere_Journaliseret_SBSYSJournalisering xmlns="5fea13b0-b4c0-4ca3-95ce-6bb4b6978223" xsi:nil="true"/>
    <KLIK_IKKE_JournaliseredeSager_SBSYSJournalisering xmlns="5fea13b0-b4c0-4ca3-95ce-6bb4b6978223" xsi:nil="true"/>
    <Seneste_Journalisering_SBSYSJournalisering xmlns="5fea13b0-b4c0-4ca3-95ce-6bb4b69782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BE8143CE458FC4C90A38161B74FCE8A" ma:contentTypeVersion="17" ma:contentTypeDescription="Opret et nyt dokument." ma:contentTypeScope="" ma:versionID="59a816763ef34bcbbbf397ee41673fe6">
  <xsd:schema xmlns:xsd="http://www.w3.org/2001/XMLSchema" xmlns:xs="http://www.w3.org/2001/XMLSchema" xmlns:p="http://schemas.microsoft.com/office/2006/metadata/properties" xmlns:ns2="5fea13b0-b4c0-4ca3-95ce-6bb4b6978223" xmlns:ns3="26ed7e34-8503-4fd5-b2f8-ce5e62b72b12" targetNamespace="http://schemas.microsoft.com/office/2006/metadata/properties" ma:root="true" ma:fieldsID="a46a3be4c9876e4894c8683dc967ef58" ns2:_="" ns3:_="">
    <xsd:import namespace="5fea13b0-b4c0-4ca3-95ce-6bb4b6978223"/>
    <xsd:import namespace="26ed7e34-8503-4fd5-b2f8-ce5e62b72b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Tidligere_Journaliseret_SBSYSJournalisering" minOccurs="0"/>
                <xsd:element ref="ns2:Seneste_Journalisering_SBSYSJournalisering" minOccurs="0"/>
                <xsd:element ref="ns2:KLIK_IKKE_JournaliseredeSager_SBSYSJournalisering" minOccurs="0"/>
                <xsd:element ref="ns2:KLIK_IKKE_JournaliseringsTidspunkter_SBSYSJournalise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a13b0-b4c0-4ca3-95ce-6bb4b6978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79ed8b31-737c-4bd0-a1f5-bf78f1e34cf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Tidligere_Journaliseret_SBSYSJournalisering" ma:index="21" nillable="true" ma:displayName="Tidligere_Journaliseret_SBSYSJournalisering" ma:description="Boolsk værdi om filen tidligere er blevet journaliseret" ma:hidden="true" ma:internalName="Tidligere_Journaliseret_SBSYSJournalisering" ma:readOnly="false">
      <xsd:simpleType>
        <xsd:restriction base="dms:Boolean"/>
      </xsd:simpleType>
    </xsd:element>
    <xsd:element name="Seneste_Journalisering_SBSYSJournalisering" ma:index="22" nillable="true" ma:displayName="Seneste_Journalisering_SBSYSJournalisering" ma:description="Dato og tidspunkt for den seneste journalisering. " ma:format="DateTime" ma:hidden="true" ma:internalName="Seneste_Journalisering_SBSYSJournalisering" ma:readOnly="false">
      <xsd:simpleType>
        <xsd:restriction base="dms:DateTime"/>
      </xsd:simpleType>
    </xsd:element>
    <xsd:element name="KLIK_IKKE_JournaliseredeSager_SBSYSJournalisering" ma:index="23" nillable="true" ma:displayName="KLIK_IKKE_JournaliseredeSager_SBSYSJournalisering" ma:description="Liste med sagsnumre for journalisering" ma:hidden="true" ma:internalName="KLIK_IKKE_JournaliseredeSager_SBSYSJournalisering" ma:readOnly="false">
      <xsd:simpleType>
        <xsd:restriction base="dms:Note"/>
      </xsd:simpleType>
    </xsd:element>
    <xsd:element name="KLIK_IKKE_JournaliseringsTidspunkter_SBSYSJournalisering" ma:index="24" nillable="true" ma:displayName="KLIK_IKKE_JournaliseringsTidspunkter_SBSYSJournalisering" ma:description="Liste med tidspunbter for journalisering" ma:hidden="true" ma:internalName="KLIK_IKKE_JournaliseringsTidspunkter_SBSYSJournalisering"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ed7e34-8503-4fd5-b2f8-ce5e62b72b1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deb46c5-91cb-4e6b-aa59-40fc2fb195ce}" ma:internalName="TaxCatchAll" ma:showField="CatchAllData" ma:web="26ed7e34-8503-4fd5-b2f8-ce5e62b72b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B8B655-3E63-4FFA-9248-6AAB7A57C222}">
  <ds:schemaRefs>
    <ds:schemaRef ds:uri="http://schemas.openxmlformats.org/officeDocument/2006/bibliography"/>
  </ds:schemaRefs>
</ds:datastoreItem>
</file>

<file path=customXml/itemProps2.xml><?xml version="1.0" encoding="utf-8"?>
<ds:datastoreItem xmlns:ds="http://schemas.openxmlformats.org/officeDocument/2006/customXml" ds:itemID="{E180C475-A188-4CD3-B8F1-906E5CAEA607}">
  <ds:schemaRef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elements/1.1/"/>
    <ds:schemaRef ds:uri="http://purl.org/dc/terms/"/>
    <ds:schemaRef ds:uri="http://purl.org/dc/dcmitype/"/>
    <ds:schemaRef ds:uri="26ed7e34-8503-4fd5-b2f8-ce5e62b72b12"/>
    <ds:schemaRef ds:uri="5fea13b0-b4c0-4ca3-95ce-6bb4b6978223"/>
    <ds:schemaRef ds:uri="http://schemas.microsoft.com/office/2006/metadata/properties"/>
  </ds:schemaRefs>
</ds:datastoreItem>
</file>

<file path=customXml/itemProps3.xml><?xml version="1.0" encoding="utf-8"?>
<ds:datastoreItem xmlns:ds="http://schemas.openxmlformats.org/officeDocument/2006/customXml" ds:itemID="{B68FDA72-9430-4E5B-B8C2-35BFDE453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a13b0-b4c0-4ca3-95ce-6bb4b6978223"/>
    <ds:schemaRef ds:uri="26ed7e34-8503-4fd5-b2f8-ce5e62b72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1F0FAD-263D-44AE-970D-D6E1975293E0}">
  <ds:schemaRefs>
    <ds:schemaRef ds:uri="http://schemas.microsoft.com/sharepoint/v3/contenttype/forms"/>
  </ds:schemaRefs>
</ds:datastoreItem>
</file>

<file path=docMetadata/LabelInfo.xml><?xml version="1.0" encoding="utf-8"?>
<clbl:labelList xmlns:clbl="http://schemas.microsoft.com/office/2020/mipLabelMetadata">
  <clbl:label id="{5ae0adb3-8717-46ff-a4b9-d0edecfe40f3}" enabled="0" method="" siteId="{5ae0adb3-8717-46ff-a4b9-d0edecfe40f3}" removed="1"/>
</clbl:labelList>
</file>

<file path=docProps/app.xml><?xml version="1.0" encoding="utf-8"?>
<Properties xmlns="http://schemas.openxmlformats.org/officeDocument/2006/extended-properties" xmlns:vt="http://schemas.openxmlformats.org/officeDocument/2006/docPropsVTypes">
  <Template>Normal</Template>
  <TotalTime>2</TotalTime>
  <Pages>11</Pages>
  <Words>2069</Words>
  <Characters>12624</Characters>
  <Application>Microsoft Office Word</Application>
  <DocSecurity>0</DocSecurity>
  <Lines>105</Lines>
  <Paragraphs>29</Paragraphs>
  <ScaleCrop>false</ScaleCrop>
  <Company>Region Midtjylland</Company>
  <LinksUpToDate>false</LinksUpToDate>
  <CharactersWithSpaces>14664</CharactersWithSpaces>
  <SharedDoc>false</SharedDoc>
  <HLinks>
    <vt:vector size="108" baseType="variant">
      <vt:variant>
        <vt:i4>1310781</vt:i4>
      </vt:variant>
      <vt:variant>
        <vt:i4>104</vt:i4>
      </vt:variant>
      <vt:variant>
        <vt:i4>0</vt:i4>
      </vt:variant>
      <vt:variant>
        <vt:i4>5</vt:i4>
      </vt:variant>
      <vt:variant>
        <vt:lpwstr/>
      </vt:variant>
      <vt:variant>
        <vt:lpwstr>_Toc198122690</vt:lpwstr>
      </vt:variant>
      <vt:variant>
        <vt:i4>1376317</vt:i4>
      </vt:variant>
      <vt:variant>
        <vt:i4>98</vt:i4>
      </vt:variant>
      <vt:variant>
        <vt:i4>0</vt:i4>
      </vt:variant>
      <vt:variant>
        <vt:i4>5</vt:i4>
      </vt:variant>
      <vt:variant>
        <vt:lpwstr/>
      </vt:variant>
      <vt:variant>
        <vt:lpwstr>_Toc198122689</vt:lpwstr>
      </vt:variant>
      <vt:variant>
        <vt:i4>1376317</vt:i4>
      </vt:variant>
      <vt:variant>
        <vt:i4>92</vt:i4>
      </vt:variant>
      <vt:variant>
        <vt:i4>0</vt:i4>
      </vt:variant>
      <vt:variant>
        <vt:i4>5</vt:i4>
      </vt:variant>
      <vt:variant>
        <vt:lpwstr/>
      </vt:variant>
      <vt:variant>
        <vt:lpwstr>_Toc198122688</vt:lpwstr>
      </vt:variant>
      <vt:variant>
        <vt:i4>1376317</vt:i4>
      </vt:variant>
      <vt:variant>
        <vt:i4>86</vt:i4>
      </vt:variant>
      <vt:variant>
        <vt:i4>0</vt:i4>
      </vt:variant>
      <vt:variant>
        <vt:i4>5</vt:i4>
      </vt:variant>
      <vt:variant>
        <vt:lpwstr/>
      </vt:variant>
      <vt:variant>
        <vt:lpwstr>_Toc198122687</vt:lpwstr>
      </vt:variant>
      <vt:variant>
        <vt:i4>1376317</vt:i4>
      </vt:variant>
      <vt:variant>
        <vt:i4>80</vt:i4>
      </vt:variant>
      <vt:variant>
        <vt:i4>0</vt:i4>
      </vt:variant>
      <vt:variant>
        <vt:i4>5</vt:i4>
      </vt:variant>
      <vt:variant>
        <vt:lpwstr/>
      </vt:variant>
      <vt:variant>
        <vt:lpwstr>_Toc198122686</vt:lpwstr>
      </vt:variant>
      <vt:variant>
        <vt:i4>1376317</vt:i4>
      </vt:variant>
      <vt:variant>
        <vt:i4>74</vt:i4>
      </vt:variant>
      <vt:variant>
        <vt:i4>0</vt:i4>
      </vt:variant>
      <vt:variant>
        <vt:i4>5</vt:i4>
      </vt:variant>
      <vt:variant>
        <vt:lpwstr/>
      </vt:variant>
      <vt:variant>
        <vt:lpwstr>_Toc198122685</vt:lpwstr>
      </vt:variant>
      <vt:variant>
        <vt:i4>1376317</vt:i4>
      </vt:variant>
      <vt:variant>
        <vt:i4>68</vt:i4>
      </vt:variant>
      <vt:variant>
        <vt:i4>0</vt:i4>
      </vt:variant>
      <vt:variant>
        <vt:i4>5</vt:i4>
      </vt:variant>
      <vt:variant>
        <vt:lpwstr/>
      </vt:variant>
      <vt:variant>
        <vt:lpwstr>_Toc198122684</vt:lpwstr>
      </vt:variant>
      <vt:variant>
        <vt:i4>1376317</vt:i4>
      </vt:variant>
      <vt:variant>
        <vt:i4>62</vt:i4>
      </vt:variant>
      <vt:variant>
        <vt:i4>0</vt:i4>
      </vt:variant>
      <vt:variant>
        <vt:i4>5</vt:i4>
      </vt:variant>
      <vt:variant>
        <vt:lpwstr/>
      </vt:variant>
      <vt:variant>
        <vt:lpwstr>_Toc198122683</vt:lpwstr>
      </vt:variant>
      <vt:variant>
        <vt:i4>1376317</vt:i4>
      </vt:variant>
      <vt:variant>
        <vt:i4>56</vt:i4>
      </vt:variant>
      <vt:variant>
        <vt:i4>0</vt:i4>
      </vt:variant>
      <vt:variant>
        <vt:i4>5</vt:i4>
      </vt:variant>
      <vt:variant>
        <vt:lpwstr/>
      </vt:variant>
      <vt:variant>
        <vt:lpwstr>_Toc198122682</vt:lpwstr>
      </vt:variant>
      <vt:variant>
        <vt:i4>1376317</vt:i4>
      </vt:variant>
      <vt:variant>
        <vt:i4>50</vt:i4>
      </vt:variant>
      <vt:variant>
        <vt:i4>0</vt:i4>
      </vt:variant>
      <vt:variant>
        <vt:i4>5</vt:i4>
      </vt:variant>
      <vt:variant>
        <vt:lpwstr/>
      </vt:variant>
      <vt:variant>
        <vt:lpwstr>_Toc198122681</vt:lpwstr>
      </vt:variant>
      <vt:variant>
        <vt:i4>1376317</vt:i4>
      </vt:variant>
      <vt:variant>
        <vt:i4>44</vt:i4>
      </vt:variant>
      <vt:variant>
        <vt:i4>0</vt:i4>
      </vt:variant>
      <vt:variant>
        <vt:i4>5</vt:i4>
      </vt:variant>
      <vt:variant>
        <vt:lpwstr/>
      </vt:variant>
      <vt:variant>
        <vt:lpwstr>_Toc198122680</vt:lpwstr>
      </vt:variant>
      <vt:variant>
        <vt:i4>1703997</vt:i4>
      </vt:variant>
      <vt:variant>
        <vt:i4>38</vt:i4>
      </vt:variant>
      <vt:variant>
        <vt:i4>0</vt:i4>
      </vt:variant>
      <vt:variant>
        <vt:i4>5</vt:i4>
      </vt:variant>
      <vt:variant>
        <vt:lpwstr/>
      </vt:variant>
      <vt:variant>
        <vt:lpwstr>_Toc198122679</vt:lpwstr>
      </vt:variant>
      <vt:variant>
        <vt:i4>1703997</vt:i4>
      </vt:variant>
      <vt:variant>
        <vt:i4>32</vt:i4>
      </vt:variant>
      <vt:variant>
        <vt:i4>0</vt:i4>
      </vt:variant>
      <vt:variant>
        <vt:i4>5</vt:i4>
      </vt:variant>
      <vt:variant>
        <vt:lpwstr/>
      </vt:variant>
      <vt:variant>
        <vt:lpwstr>_Toc198122678</vt:lpwstr>
      </vt:variant>
      <vt:variant>
        <vt:i4>1703997</vt:i4>
      </vt:variant>
      <vt:variant>
        <vt:i4>26</vt:i4>
      </vt:variant>
      <vt:variant>
        <vt:i4>0</vt:i4>
      </vt:variant>
      <vt:variant>
        <vt:i4>5</vt:i4>
      </vt:variant>
      <vt:variant>
        <vt:lpwstr/>
      </vt:variant>
      <vt:variant>
        <vt:lpwstr>_Toc198122677</vt:lpwstr>
      </vt:variant>
      <vt:variant>
        <vt:i4>1703997</vt:i4>
      </vt:variant>
      <vt:variant>
        <vt:i4>20</vt:i4>
      </vt:variant>
      <vt:variant>
        <vt:i4>0</vt:i4>
      </vt:variant>
      <vt:variant>
        <vt:i4>5</vt:i4>
      </vt:variant>
      <vt:variant>
        <vt:lpwstr/>
      </vt:variant>
      <vt:variant>
        <vt:lpwstr>_Toc198122676</vt:lpwstr>
      </vt:variant>
      <vt:variant>
        <vt:i4>1703997</vt:i4>
      </vt:variant>
      <vt:variant>
        <vt:i4>14</vt:i4>
      </vt:variant>
      <vt:variant>
        <vt:i4>0</vt:i4>
      </vt:variant>
      <vt:variant>
        <vt:i4>5</vt:i4>
      </vt:variant>
      <vt:variant>
        <vt:lpwstr/>
      </vt:variant>
      <vt:variant>
        <vt:lpwstr>_Toc198122675</vt:lpwstr>
      </vt:variant>
      <vt:variant>
        <vt:i4>1703997</vt:i4>
      </vt:variant>
      <vt:variant>
        <vt:i4>8</vt:i4>
      </vt:variant>
      <vt:variant>
        <vt:i4>0</vt:i4>
      </vt:variant>
      <vt:variant>
        <vt:i4>5</vt:i4>
      </vt:variant>
      <vt:variant>
        <vt:lpwstr/>
      </vt:variant>
      <vt:variant>
        <vt:lpwstr>_Toc198122674</vt:lpwstr>
      </vt:variant>
      <vt:variant>
        <vt:i4>1703997</vt:i4>
      </vt:variant>
      <vt:variant>
        <vt:i4>2</vt:i4>
      </vt:variant>
      <vt:variant>
        <vt:i4>0</vt:i4>
      </vt:variant>
      <vt:variant>
        <vt:i4>5</vt:i4>
      </vt:variant>
      <vt:variant>
        <vt:lpwstr/>
      </vt:variant>
      <vt:variant>
        <vt:lpwstr>_Toc198122673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Selektiv nedrivning</dc:title>
  <dc:subject/>
  <dc:creator>Region Midtjylnd</dc:creator>
  <cp:keywords/>
  <dc:description/>
  <cp:lastModifiedBy>Anne Marie Lind Nielsen</cp:lastModifiedBy>
  <cp:revision>2</cp:revision>
  <cp:lastPrinted>2024-10-03T20:58:00Z</cp:lastPrinted>
  <dcterms:created xsi:type="dcterms:W3CDTF">2025-05-19T11:52:00Z</dcterms:created>
  <dcterms:modified xsi:type="dcterms:W3CDTF">2025-05-19T11:52:00Z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0x0101002BE8143CE458FC4C90A38161B74FCE8A</vt:lpwstr>
  </property>
  <property fmtid="{D5CDD505-2E9C-101B-9397-08002B2CF9AE}" pid="3" name="MediaServiceImageTags">
    <vt:lpwstr/>
  </property>
</Properties>
</file>